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7607" w14:textId="53588F63" w:rsidR="00783B2D" w:rsidRPr="002C527D" w:rsidRDefault="0073447E" w:rsidP="003D6B07">
      <w:pPr>
        <w:pStyle w:val="CaptionHeader"/>
        <w:rPr>
          <w:rFonts w:cs="Times New Roman"/>
          <w:sz w:val="24"/>
          <w:szCs w:val="24"/>
        </w:rPr>
      </w:pPr>
      <w:bookmarkStart w:id="0" w:name="_Hlk102455922"/>
      <w:bookmarkStart w:id="1" w:name="_Hlk102456506"/>
      <w:r>
        <w:rPr>
          <w:rFonts w:cs="Times New Roman"/>
          <w:sz w:val="24"/>
          <w:szCs w:val="24"/>
        </w:rPr>
        <w:t xml:space="preserve">IN THE </w:t>
      </w:r>
      <w:r w:rsidR="00783B2D" w:rsidRPr="002C527D">
        <w:rPr>
          <w:rFonts w:cs="Times New Roman"/>
          <w:sz w:val="24"/>
          <w:szCs w:val="24"/>
        </w:rPr>
        <w:t>UNITED STATES DISTRICT COURT</w:t>
      </w:r>
    </w:p>
    <w:p w14:paraId="3CA1D9E3" w14:textId="05F024C7" w:rsidR="00783B2D" w:rsidRPr="002C527D" w:rsidRDefault="0073447E" w:rsidP="003D6B07">
      <w:pPr>
        <w:pStyle w:val="CaptionHeader"/>
        <w:rPr>
          <w:rFonts w:cs="Times New Roman"/>
          <w:sz w:val="24"/>
          <w:szCs w:val="24"/>
        </w:rPr>
      </w:pPr>
      <w:r>
        <w:rPr>
          <w:rFonts w:cs="Times New Roman"/>
          <w:sz w:val="24"/>
          <w:szCs w:val="24"/>
        </w:rPr>
        <w:t xml:space="preserve">FOR THE </w:t>
      </w:r>
      <w:r w:rsidR="00783B2D" w:rsidRPr="002C527D">
        <w:rPr>
          <w:rFonts w:cs="Times New Roman"/>
          <w:sz w:val="24"/>
          <w:szCs w:val="24"/>
        </w:rPr>
        <w:t>SOUTHERN DISTRICT OF TEXAS</w:t>
      </w:r>
    </w:p>
    <w:p w14:paraId="2830B029" w14:textId="6E96F64C" w:rsidR="00783B2D" w:rsidRPr="002C527D" w:rsidRDefault="00C84158" w:rsidP="003D6B07">
      <w:pPr>
        <w:pStyle w:val="CaptionHeader"/>
        <w:rPr>
          <w:rFonts w:cs="Times New Roman"/>
          <w:sz w:val="24"/>
          <w:szCs w:val="24"/>
        </w:rPr>
      </w:pPr>
      <w:r w:rsidRPr="002C527D">
        <w:rPr>
          <w:rFonts w:cs="Times New Roman"/>
          <w:sz w:val="24"/>
          <w:szCs w:val="24"/>
        </w:rPr>
        <w:t xml:space="preserve">___________________ </w:t>
      </w:r>
      <w:r w:rsidR="00783B2D" w:rsidRPr="002C527D">
        <w:rPr>
          <w:rFonts w:cs="Times New Roman"/>
          <w:sz w:val="24"/>
          <w:szCs w:val="24"/>
        </w:rPr>
        <w:t>DIVISION</w:t>
      </w:r>
    </w:p>
    <w:p w14:paraId="6EE2CE70" w14:textId="02E1981B" w:rsidR="00783B2D" w:rsidRPr="002C527D" w:rsidRDefault="00783B2D" w:rsidP="00FD124C">
      <w:pPr>
        <w:spacing w:line="240" w:lineRule="auto"/>
        <w:jc w:val="center"/>
        <w:rPr>
          <w:rFonts w:cs="Times New Roman"/>
          <w:szCs w:val="24"/>
        </w:rPr>
      </w:pPr>
    </w:p>
    <w:p w14:paraId="2394FD89" w14:textId="77777777" w:rsidR="00C84158" w:rsidRPr="002C527D" w:rsidRDefault="00C84158" w:rsidP="00FD124C">
      <w:pPr>
        <w:spacing w:line="240" w:lineRule="auto"/>
        <w:jc w:val="center"/>
        <w:rPr>
          <w:rFonts w:cs="Times New Roman"/>
          <w:szCs w:val="24"/>
        </w:rPr>
      </w:pPr>
    </w:p>
    <w:p w14:paraId="0E168BB6" w14:textId="1BEE2E95" w:rsidR="00783B2D" w:rsidRPr="002C527D" w:rsidRDefault="00C84158" w:rsidP="00C84158">
      <w:pPr>
        <w:tabs>
          <w:tab w:val="left" w:pos="3600"/>
          <w:tab w:val="center" w:pos="4680"/>
        </w:tabs>
        <w:spacing w:line="276" w:lineRule="auto"/>
        <w:jc w:val="both"/>
        <w:rPr>
          <w:rFonts w:cs="Times New Roman"/>
          <w:szCs w:val="24"/>
        </w:rPr>
      </w:pPr>
      <w:r w:rsidRPr="002C527D">
        <w:rPr>
          <w:rFonts w:cs="Times New Roman"/>
          <w:szCs w:val="24"/>
          <w:u w:val="single"/>
        </w:rPr>
        <w:tab/>
      </w:r>
      <w:r w:rsidRPr="002C527D">
        <w:rPr>
          <w:rFonts w:cs="Times New Roman"/>
          <w:szCs w:val="24"/>
        </w:rPr>
        <w:t>,</w:t>
      </w:r>
      <w:r w:rsidRPr="002C527D">
        <w:rPr>
          <w:rFonts w:cs="Times New Roman"/>
          <w:szCs w:val="24"/>
        </w:rPr>
        <w:tab/>
        <w:t>§</w:t>
      </w:r>
    </w:p>
    <w:p w14:paraId="1B7DC1BA" w14:textId="72200045" w:rsidR="00C84158" w:rsidRPr="002C527D" w:rsidRDefault="00C84158" w:rsidP="00C84158">
      <w:pPr>
        <w:tabs>
          <w:tab w:val="left" w:pos="1890"/>
          <w:tab w:val="center" w:pos="4680"/>
        </w:tabs>
        <w:spacing w:line="276" w:lineRule="auto"/>
        <w:jc w:val="both"/>
        <w:rPr>
          <w:rFonts w:cs="Times New Roman"/>
          <w:szCs w:val="24"/>
        </w:rPr>
      </w:pPr>
      <w:r w:rsidRPr="002C527D">
        <w:rPr>
          <w:rFonts w:cs="Times New Roman"/>
          <w:szCs w:val="24"/>
        </w:rPr>
        <w:tab/>
        <w:t>Plaintiff,</w:t>
      </w:r>
      <w:r w:rsidRPr="002C527D">
        <w:rPr>
          <w:rFonts w:cs="Times New Roman"/>
          <w:szCs w:val="24"/>
        </w:rPr>
        <w:tab/>
        <w:t>§</w:t>
      </w:r>
    </w:p>
    <w:p w14:paraId="70579139" w14:textId="0AE68C4F" w:rsidR="00C84158" w:rsidRPr="002C527D" w:rsidRDefault="00C84158" w:rsidP="00C84158">
      <w:pPr>
        <w:tabs>
          <w:tab w:val="left" w:pos="3600"/>
          <w:tab w:val="center" w:pos="4680"/>
        </w:tabs>
        <w:spacing w:line="276" w:lineRule="auto"/>
        <w:jc w:val="both"/>
        <w:rPr>
          <w:rFonts w:cs="Times New Roman"/>
          <w:szCs w:val="24"/>
        </w:rPr>
      </w:pPr>
      <w:r w:rsidRPr="002C527D">
        <w:rPr>
          <w:rFonts w:cs="Times New Roman"/>
          <w:szCs w:val="24"/>
        </w:rPr>
        <w:tab/>
      </w:r>
      <w:r w:rsidRPr="002C527D">
        <w:rPr>
          <w:rFonts w:cs="Times New Roman"/>
          <w:szCs w:val="24"/>
        </w:rPr>
        <w:tab/>
        <w:t>§</w:t>
      </w:r>
    </w:p>
    <w:p w14:paraId="49A1601B" w14:textId="438C4FA5" w:rsidR="00C84158" w:rsidRPr="002C527D" w:rsidRDefault="00C84158" w:rsidP="00C84158">
      <w:pPr>
        <w:tabs>
          <w:tab w:val="left" w:pos="3600"/>
          <w:tab w:val="center" w:pos="4680"/>
          <w:tab w:val="left" w:pos="5310"/>
          <w:tab w:val="right" w:pos="9270"/>
        </w:tabs>
        <w:spacing w:line="276" w:lineRule="auto"/>
        <w:jc w:val="both"/>
        <w:rPr>
          <w:rFonts w:cs="Times New Roman"/>
          <w:szCs w:val="24"/>
          <w:u w:val="single"/>
        </w:rPr>
      </w:pPr>
      <w:r w:rsidRPr="002C527D">
        <w:rPr>
          <w:rFonts w:cs="Times New Roman"/>
          <w:szCs w:val="24"/>
        </w:rPr>
        <w:t>v.</w:t>
      </w:r>
      <w:r w:rsidRPr="002C527D">
        <w:rPr>
          <w:rFonts w:cs="Times New Roman"/>
          <w:szCs w:val="24"/>
        </w:rPr>
        <w:tab/>
      </w:r>
      <w:r w:rsidRPr="002C527D">
        <w:rPr>
          <w:rFonts w:cs="Times New Roman"/>
          <w:szCs w:val="24"/>
        </w:rPr>
        <w:tab/>
        <w:t>§</w:t>
      </w:r>
      <w:r w:rsidRPr="002C527D">
        <w:rPr>
          <w:rFonts w:cs="Times New Roman"/>
          <w:szCs w:val="24"/>
        </w:rPr>
        <w:tab/>
        <w:t xml:space="preserve">CIVIL ACTION NO. </w:t>
      </w:r>
      <w:r w:rsidRPr="002C527D">
        <w:rPr>
          <w:rFonts w:cs="Times New Roman"/>
          <w:szCs w:val="24"/>
          <w:u w:val="single"/>
        </w:rPr>
        <w:tab/>
      </w:r>
    </w:p>
    <w:p w14:paraId="1B88BFC5" w14:textId="6831B3F1" w:rsidR="00C84158" w:rsidRPr="002C527D" w:rsidRDefault="00C84158" w:rsidP="00C84158">
      <w:pPr>
        <w:tabs>
          <w:tab w:val="left" w:pos="3600"/>
          <w:tab w:val="center" w:pos="4680"/>
        </w:tabs>
        <w:spacing w:line="276" w:lineRule="auto"/>
        <w:jc w:val="both"/>
        <w:rPr>
          <w:rFonts w:cs="Times New Roman"/>
          <w:szCs w:val="24"/>
        </w:rPr>
      </w:pPr>
      <w:r w:rsidRPr="002C527D">
        <w:rPr>
          <w:rFonts w:cs="Times New Roman"/>
          <w:szCs w:val="24"/>
        </w:rPr>
        <w:tab/>
      </w:r>
      <w:r w:rsidRPr="002C527D">
        <w:rPr>
          <w:rFonts w:cs="Times New Roman"/>
          <w:szCs w:val="24"/>
        </w:rPr>
        <w:tab/>
        <w:t>§</w:t>
      </w:r>
    </w:p>
    <w:p w14:paraId="7A35C912" w14:textId="53C8DE58" w:rsidR="00C84158" w:rsidRPr="002C527D" w:rsidRDefault="00C84158" w:rsidP="00C84158">
      <w:pPr>
        <w:tabs>
          <w:tab w:val="left" w:pos="3600"/>
          <w:tab w:val="center" w:pos="4680"/>
        </w:tabs>
        <w:spacing w:line="276" w:lineRule="auto"/>
        <w:jc w:val="both"/>
        <w:rPr>
          <w:rFonts w:cs="Times New Roman"/>
          <w:szCs w:val="24"/>
        </w:rPr>
      </w:pPr>
      <w:r w:rsidRPr="002C527D">
        <w:rPr>
          <w:rFonts w:cs="Times New Roman"/>
          <w:szCs w:val="24"/>
          <w:u w:val="single"/>
        </w:rPr>
        <w:tab/>
      </w:r>
      <w:r w:rsidRPr="002C527D">
        <w:rPr>
          <w:rFonts w:cs="Times New Roman"/>
          <w:szCs w:val="24"/>
        </w:rPr>
        <w:t>,</w:t>
      </w:r>
      <w:r w:rsidRPr="002C527D">
        <w:rPr>
          <w:rFonts w:cs="Times New Roman"/>
          <w:szCs w:val="24"/>
        </w:rPr>
        <w:tab/>
        <w:t>§</w:t>
      </w:r>
    </w:p>
    <w:p w14:paraId="5C06A6AA" w14:textId="5EDDE571" w:rsidR="00C84158" w:rsidRPr="002C527D" w:rsidRDefault="00C84158" w:rsidP="00C84158">
      <w:pPr>
        <w:tabs>
          <w:tab w:val="left" w:pos="1890"/>
          <w:tab w:val="center" w:pos="4680"/>
        </w:tabs>
        <w:spacing w:line="276" w:lineRule="auto"/>
        <w:jc w:val="both"/>
        <w:rPr>
          <w:rFonts w:cs="Times New Roman"/>
          <w:szCs w:val="24"/>
        </w:rPr>
      </w:pPr>
      <w:r w:rsidRPr="002C527D">
        <w:rPr>
          <w:rFonts w:cs="Times New Roman"/>
          <w:szCs w:val="24"/>
        </w:rPr>
        <w:tab/>
        <w:t>Defendant.</w:t>
      </w:r>
      <w:r w:rsidRPr="002C527D">
        <w:rPr>
          <w:rFonts w:cs="Times New Roman"/>
          <w:szCs w:val="24"/>
        </w:rPr>
        <w:tab/>
        <w:t>§</w:t>
      </w:r>
    </w:p>
    <w:bookmarkEnd w:id="0"/>
    <w:p w14:paraId="55DC29A0" w14:textId="77777777" w:rsidR="00C84158" w:rsidRPr="002C527D" w:rsidRDefault="00C84158" w:rsidP="00C84158">
      <w:pPr>
        <w:tabs>
          <w:tab w:val="left" w:pos="3240"/>
          <w:tab w:val="center" w:pos="4320"/>
        </w:tabs>
        <w:spacing w:line="240" w:lineRule="auto"/>
        <w:jc w:val="both"/>
        <w:rPr>
          <w:rFonts w:cs="Times New Roman"/>
          <w:szCs w:val="24"/>
        </w:rPr>
      </w:pPr>
    </w:p>
    <w:bookmarkEnd w:id="1"/>
    <w:p w14:paraId="455F5C1C" w14:textId="77777777" w:rsidR="00783B2D" w:rsidRPr="002C527D" w:rsidRDefault="00783B2D" w:rsidP="00FD124C">
      <w:pPr>
        <w:spacing w:line="240" w:lineRule="auto"/>
        <w:rPr>
          <w:rFonts w:cs="Times New Roman"/>
          <w:szCs w:val="24"/>
        </w:rPr>
      </w:pPr>
    </w:p>
    <w:p w14:paraId="32642546" w14:textId="77777777" w:rsidR="00BF4547" w:rsidRPr="002C527D" w:rsidRDefault="00BF4547" w:rsidP="002B7A82">
      <w:pPr>
        <w:pStyle w:val="Title"/>
        <w:ind w:right="-60"/>
      </w:pPr>
      <w:r w:rsidRPr="002C527D">
        <w:t>PATENT CASE ORDER SETTING</w:t>
      </w:r>
    </w:p>
    <w:p w14:paraId="46F6AF05" w14:textId="77777777" w:rsidR="00BF4547" w:rsidRPr="002C527D" w:rsidRDefault="00BF4547" w:rsidP="002B7A82">
      <w:pPr>
        <w:pStyle w:val="Title"/>
        <w:ind w:right="-60"/>
      </w:pPr>
      <w:r w:rsidRPr="002C527D">
        <w:t>INITIAL CASE MANAGEMENT CONFERENCE AND SCOPE OF DISCOVERY</w:t>
      </w:r>
    </w:p>
    <w:p w14:paraId="00A51C53" w14:textId="07904E07" w:rsidR="00BF4547" w:rsidRDefault="00BF4547" w:rsidP="00A733D0">
      <w:pPr>
        <w:pStyle w:val="BodyText"/>
        <w:ind w:left="0" w:right="-60" w:firstLine="720"/>
      </w:pPr>
      <w:r w:rsidRPr="002C527D">
        <w:t>The Court issues</w:t>
      </w:r>
      <w:r w:rsidRPr="002C527D">
        <w:rPr>
          <w:spacing w:val="30"/>
        </w:rPr>
        <w:t xml:space="preserve"> </w:t>
      </w:r>
      <w:r w:rsidRPr="002C527D">
        <w:t>this Order in preparation for the</w:t>
      </w:r>
      <w:r w:rsidR="002C527D" w:rsidRPr="002C527D">
        <w:t xml:space="preserve"> ______________________</w:t>
      </w:r>
      <w:r w:rsidRPr="002C527D">
        <w:t>,</w:t>
      </w:r>
      <w:r w:rsidR="002C527D" w:rsidRPr="002C527D">
        <w:t xml:space="preserve"> 20______,</w:t>
      </w:r>
      <w:r w:rsidRPr="002C527D">
        <w:t xml:space="preserve"> Initial </w:t>
      </w:r>
      <w:r w:rsidRPr="002C527D">
        <w:rPr>
          <w:spacing w:val="-4"/>
        </w:rPr>
        <w:t xml:space="preserve">Case </w:t>
      </w:r>
      <w:r w:rsidRPr="002C527D">
        <w:t>Management Conference in this patent infringement case. The following is hereby</w:t>
      </w:r>
      <w:r w:rsidRPr="002C527D">
        <w:rPr>
          <w:spacing w:val="-23"/>
        </w:rPr>
        <w:t xml:space="preserve"> </w:t>
      </w:r>
      <w:r w:rsidRPr="002C527D">
        <w:rPr>
          <w:b/>
        </w:rPr>
        <w:t>ORDERED</w:t>
      </w:r>
      <w:r w:rsidRPr="002C527D">
        <w:t>.</w:t>
      </w:r>
    </w:p>
    <w:p w14:paraId="460E0E3A" w14:textId="34B00C6A" w:rsidR="00A733D0" w:rsidRPr="00A733D0" w:rsidRDefault="00A733D0" w:rsidP="00A733D0">
      <w:pPr>
        <w:pStyle w:val="Heading1"/>
        <w:ind w:left="0" w:right="-60"/>
        <w:rPr>
          <w:u w:val="none"/>
        </w:rPr>
      </w:pPr>
      <w:r>
        <w:t>CERTIFICATE OF INTERESTED PERSONS AND DISLOSURE STATEMENT</w:t>
      </w:r>
    </w:p>
    <w:p w14:paraId="43FECECD" w14:textId="2150786C" w:rsidR="00D421F5" w:rsidRPr="002C527D" w:rsidRDefault="00D421F5" w:rsidP="00A733D0">
      <w:pPr>
        <w:pStyle w:val="BodyText"/>
        <w:ind w:left="0" w:right="-60" w:firstLine="720"/>
      </w:pPr>
      <w:r w:rsidRPr="00D421F5">
        <w:t>Counsel and all unrepresented parties must also file with the Clerk, at least 14 days before the Rule 16 Conference is set, a certificate listing all persons, associations, firms, partnerships, corporations, affiliates, parent corporations, or other entities, including any unincorporated entities such as LLCs or LLPs, that are financially interested in the outcome of this litigation. Underline the name of each corporation whose securities are publicly traded. If new parties are added or if additional persons or entities financially interested in the outcome of the litigation are identified during this litigation, an amended certificate must be filed promptly with the Clerk. If an unincorporated entity is named as a party, the certificate must state the citizenship of every member of that entity.</w:t>
      </w:r>
    </w:p>
    <w:p w14:paraId="593C56E5" w14:textId="77777777" w:rsidR="00BF4547" w:rsidRPr="002C527D" w:rsidRDefault="00BF4547" w:rsidP="00A733D0">
      <w:pPr>
        <w:pStyle w:val="Heading1"/>
        <w:ind w:left="0" w:right="-60"/>
        <w:rPr>
          <w:u w:val="none"/>
        </w:rPr>
      </w:pPr>
      <w:r w:rsidRPr="002C527D">
        <w:lastRenderedPageBreak/>
        <w:t>PROPOSED DATES FOR SCHEDULING ORDER</w:t>
      </w:r>
    </w:p>
    <w:p w14:paraId="7ADE789D" w14:textId="07018AB2" w:rsidR="00BF4547" w:rsidRPr="002C527D" w:rsidRDefault="00BF4547" w:rsidP="00A733D0">
      <w:pPr>
        <w:pStyle w:val="BodyText"/>
        <w:ind w:left="0" w:right="-60" w:firstLine="720"/>
      </w:pPr>
      <w:r w:rsidRPr="002C527D">
        <w:t>Proposed dates for the Scheduling Order in this case will be discussed at the conference. The parties are directed to meet and confer in accordance with Federal Rule of Civil Procedure 26(f)</w:t>
      </w:r>
      <w:r w:rsidRPr="002C527D">
        <w:rPr>
          <w:spacing w:val="-10"/>
        </w:rPr>
        <w:t xml:space="preserve"> </w:t>
      </w:r>
      <w:r w:rsidRPr="002C527D">
        <w:t>and</w:t>
      </w:r>
      <w:r w:rsidRPr="002C527D">
        <w:rPr>
          <w:spacing w:val="-9"/>
        </w:rPr>
        <w:t xml:space="preserve"> </w:t>
      </w:r>
      <w:r w:rsidRPr="002C527D">
        <w:t>Rule</w:t>
      </w:r>
      <w:r w:rsidRPr="002C527D">
        <w:rPr>
          <w:spacing w:val="-10"/>
        </w:rPr>
        <w:t xml:space="preserve"> </w:t>
      </w:r>
      <w:r w:rsidRPr="002C527D">
        <w:t>2-1</w:t>
      </w:r>
      <w:r w:rsidRPr="002C527D">
        <w:rPr>
          <w:spacing w:val="-8"/>
        </w:rPr>
        <w:t xml:space="preserve"> </w:t>
      </w:r>
      <w:r w:rsidRPr="002C527D">
        <w:t>of</w:t>
      </w:r>
      <w:r w:rsidRPr="002C527D">
        <w:rPr>
          <w:spacing w:val="-9"/>
        </w:rPr>
        <w:t xml:space="preserve"> </w:t>
      </w:r>
      <w:r w:rsidRPr="002C527D">
        <w:t>the</w:t>
      </w:r>
      <w:r w:rsidRPr="002C527D">
        <w:rPr>
          <w:spacing w:val="-12"/>
        </w:rPr>
        <w:t xml:space="preserve"> </w:t>
      </w:r>
      <w:r w:rsidRPr="002C527D">
        <w:t>Rules</w:t>
      </w:r>
      <w:r w:rsidRPr="002C527D">
        <w:rPr>
          <w:spacing w:val="-8"/>
        </w:rPr>
        <w:t xml:space="preserve"> </w:t>
      </w:r>
      <w:r w:rsidRPr="002C527D">
        <w:t>of</w:t>
      </w:r>
      <w:r w:rsidRPr="002C527D">
        <w:rPr>
          <w:spacing w:val="-9"/>
        </w:rPr>
        <w:t xml:space="preserve"> </w:t>
      </w:r>
      <w:r w:rsidRPr="002C527D">
        <w:t>Practice</w:t>
      </w:r>
      <w:r w:rsidRPr="002C527D">
        <w:rPr>
          <w:spacing w:val="-10"/>
        </w:rPr>
        <w:t xml:space="preserve"> </w:t>
      </w:r>
      <w:r w:rsidRPr="002C527D">
        <w:t>for</w:t>
      </w:r>
      <w:r w:rsidRPr="002C527D">
        <w:rPr>
          <w:spacing w:val="-10"/>
        </w:rPr>
        <w:t xml:space="preserve"> </w:t>
      </w:r>
      <w:r w:rsidRPr="002C527D">
        <w:t>Patent</w:t>
      </w:r>
      <w:r w:rsidRPr="002C527D">
        <w:rPr>
          <w:spacing w:val="-8"/>
        </w:rPr>
        <w:t xml:space="preserve"> </w:t>
      </w:r>
      <w:r w:rsidRPr="002C527D">
        <w:t>Cases</w:t>
      </w:r>
      <w:r w:rsidRPr="002C527D">
        <w:rPr>
          <w:spacing w:val="-8"/>
        </w:rPr>
        <w:t xml:space="preserve"> </w:t>
      </w:r>
      <w:r w:rsidRPr="002C527D">
        <w:t>in</w:t>
      </w:r>
      <w:r w:rsidRPr="002C527D">
        <w:rPr>
          <w:spacing w:val="-11"/>
        </w:rPr>
        <w:t xml:space="preserve"> </w:t>
      </w:r>
      <w:r w:rsidRPr="002C527D">
        <w:t>the</w:t>
      </w:r>
      <w:r w:rsidRPr="002C527D">
        <w:rPr>
          <w:spacing w:val="-9"/>
        </w:rPr>
        <w:t xml:space="preserve"> </w:t>
      </w:r>
      <w:r w:rsidRPr="002C527D">
        <w:t>Southern District</w:t>
      </w:r>
      <w:r w:rsidRPr="002C527D">
        <w:rPr>
          <w:spacing w:val="-14"/>
        </w:rPr>
        <w:t xml:space="preserve"> </w:t>
      </w:r>
      <w:r w:rsidRPr="002C527D">
        <w:t>of</w:t>
      </w:r>
      <w:r w:rsidRPr="002C527D">
        <w:rPr>
          <w:spacing w:val="-14"/>
        </w:rPr>
        <w:t xml:space="preserve"> </w:t>
      </w:r>
      <w:r w:rsidRPr="002C527D">
        <w:t>Texas</w:t>
      </w:r>
      <w:r w:rsidRPr="002C527D">
        <w:rPr>
          <w:spacing w:val="-13"/>
        </w:rPr>
        <w:t xml:space="preserve"> </w:t>
      </w:r>
      <w:r w:rsidRPr="002C527D">
        <w:t>(“P.R.”,</w:t>
      </w:r>
      <w:r w:rsidRPr="002C527D">
        <w:rPr>
          <w:spacing w:val="-11"/>
        </w:rPr>
        <w:t xml:space="preserve"> </w:t>
      </w:r>
      <w:r w:rsidRPr="002C527D">
        <w:t>available</w:t>
      </w:r>
      <w:r w:rsidRPr="002C527D">
        <w:rPr>
          <w:spacing w:val="-12"/>
        </w:rPr>
        <w:t xml:space="preserve"> </w:t>
      </w:r>
      <w:r w:rsidRPr="002C527D">
        <w:t>at</w:t>
      </w:r>
      <w:r w:rsidRPr="002C527D">
        <w:rPr>
          <w:spacing w:val="-14"/>
        </w:rPr>
        <w:t xml:space="preserve"> </w:t>
      </w:r>
      <w:r w:rsidRPr="002C527D">
        <w:t>United</w:t>
      </w:r>
      <w:r w:rsidRPr="002C527D">
        <w:rPr>
          <w:spacing w:val="-11"/>
        </w:rPr>
        <w:t xml:space="preserve"> </w:t>
      </w:r>
      <w:r w:rsidRPr="002C527D">
        <w:t>States</w:t>
      </w:r>
      <w:r w:rsidRPr="002C527D">
        <w:rPr>
          <w:spacing w:val="-11"/>
        </w:rPr>
        <w:t xml:space="preserve"> </w:t>
      </w:r>
      <w:r w:rsidRPr="002C527D">
        <w:t>District</w:t>
      </w:r>
      <w:r w:rsidRPr="002C527D">
        <w:rPr>
          <w:spacing w:val="-13"/>
        </w:rPr>
        <w:t xml:space="preserve"> </w:t>
      </w:r>
      <w:r w:rsidRPr="002C527D">
        <w:t>Court</w:t>
      </w:r>
      <w:r w:rsidRPr="002C527D">
        <w:rPr>
          <w:spacing w:val="-13"/>
        </w:rPr>
        <w:t xml:space="preserve"> </w:t>
      </w:r>
      <w:r w:rsidRPr="002C527D">
        <w:t>for</w:t>
      </w:r>
      <w:r w:rsidRPr="002C527D">
        <w:rPr>
          <w:spacing w:val="-14"/>
        </w:rPr>
        <w:t xml:space="preserve"> </w:t>
      </w:r>
      <w:r w:rsidRPr="002C527D">
        <w:t>the</w:t>
      </w:r>
      <w:r w:rsidRPr="002C527D">
        <w:rPr>
          <w:spacing w:val="-13"/>
        </w:rPr>
        <w:t xml:space="preserve"> </w:t>
      </w:r>
      <w:r w:rsidRPr="002C527D">
        <w:t>Southern</w:t>
      </w:r>
      <w:r w:rsidRPr="002C527D">
        <w:rPr>
          <w:spacing w:val="-13"/>
        </w:rPr>
        <w:t xml:space="preserve"> </w:t>
      </w:r>
      <w:r w:rsidRPr="002C527D">
        <w:t>District</w:t>
      </w:r>
      <w:r w:rsidRPr="002C527D">
        <w:rPr>
          <w:spacing w:val="-13"/>
        </w:rPr>
        <w:t xml:space="preserve"> </w:t>
      </w:r>
      <w:r w:rsidRPr="002C527D">
        <w:t>of</w:t>
      </w:r>
      <w:r w:rsidRPr="002C527D">
        <w:rPr>
          <w:spacing w:val="-14"/>
        </w:rPr>
        <w:t xml:space="preserve"> </w:t>
      </w:r>
      <w:r w:rsidRPr="002C527D">
        <w:t xml:space="preserve">Texas website, </w:t>
      </w:r>
      <w:hyperlink r:id="rId7" w:history="1">
        <w:r w:rsidRPr="002C527D">
          <w:rPr>
            <w:rStyle w:val="Hyperlink"/>
            <w:b/>
            <w:i/>
          </w:rPr>
          <w:t>www.txs.uscourts.gov</w:t>
        </w:r>
      </w:hyperlink>
      <w:r w:rsidRPr="002C527D">
        <w:t xml:space="preserve">) no later than </w:t>
      </w:r>
      <w:r w:rsidRPr="002C527D">
        <w:rPr>
          <w:b/>
        </w:rPr>
        <w:t xml:space="preserve">14 days </w:t>
      </w:r>
      <w:r w:rsidRPr="002C527D">
        <w:t xml:space="preserve">before the Initial Case Management Conference. The parties must file no later than </w:t>
      </w:r>
      <w:r w:rsidRPr="002C527D">
        <w:rPr>
          <w:b/>
        </w:rPr>
        <w:t xml:space="preserve">7 days </w:t>
      </w:r>
      <w:r w:rsidRPr="002C527D">
        <w:t>before the Initial Case Management Conference</w:t>
      </w:r>
      <w:r w:rsidRPr="002C527D">
        <w:rPr>
          <w:spacing w:val="16"/>
        </w:rPr>
        <w:t xml:space="preserve"> </w:t>
      </w:r>
      <w:r w:rsidRPr="002C527D">
        <w:t>a</w:t>
      </w:r>
      <w:r w:rsidRPr="002C527D">
        <w:rPr>
          <w:spacing w:val="14"/>
        </w:rPr>
        <w:t xml:space="preserve"> </w:t>
      </w:r>
      <w:r w:rsidRPr="002C527D">
        <w:t>“Joint</w:t>
      </w:r>
      <w:r w:rsidRPr="002C527D">
        <w:rPr>
          <w:spacing w:val="15"/>
        </w:rPr>
        <w:t xml:space="preserve"> </w:t>
      </w:r>
      <w:r w:rsidRPr="002C527D">
        <w:t>Case</w:t>
      </w:r>
      <w:r w:rsidRPr="002C527D">
        <w:rPr>
          <w:spacing w:val="15"/>
        </w:rPr>
        <w:t xml:space="preserve"> </w:t>
      </w:r>
      <w:r w:rsidRPr="002C527D">
        <w:t>Management</w:t>
      </w:r>
      <w:r w:rsidRPr="002C527D">
        <w:rPr>
          <w:spacing w:val="16"/>
        </w:rPr>
        <w:t xml:space="preserve"> </w:t>
      </w:r>
      <w:r w:rsidRPr="002C527D">
        <w:t>Plan”</w:t>
      </w:r>
      <w:r w:rsidRPr="002C527D">
        <w:rPr>
          <w:spacing w:val="16"/>
        </w:rPr>
        <w:t xml:space="preserve"> </w:t>
      </w:r>
      <w:r w:rsidRPr="002C527D">
        <w:t>(“JCMP”)</w:t>
      </w:r>
      <w:r w:rsidRPr="002C527D">
        <w:rPr>
          <w:spacing w:val="15"/>
        </w:rPr>
        <w:t xml:space="preserve"> </w:t>
      </w:r>
      <w:r w:rsidRPr="002C527D">
        <w:t>setting</w:t>
      </w:r>
      <w:r w:rsidRPr="002C527D">
        <w:rPr>
          <w:spacing w:val="15"/>
        </w:rPr>
        <w:t xml:space="preserve"> </w:t>
      </w:r>
      <w:r w:rsidRPr="002C527D">
        <w:t>forth</w:t>
      </w:r>
      <w:r w:rsidRPr="002C527D">
        <w:rPr>
          <w:spacing w:val="14"/>
        </w:rPr>
        <w:t xml:space="preserve"> </w:t>
      </w:r>
      <w:r w:rsidRPr="002C527D">
        <w:t>the</w:t>
      </w:r>
      <w:r w:rsidRPr="002C527D">
        <w:rPr>
          <w:spacing w:val="17"/>
        </w:rPr>
        <w:t xml:space="preserve"> </w:t>
      </w:r>
      <w:r w:rsidRPr="002C527D">
        <w:t>information</w:t>
      </w:r>
      <w:r w:rsidRPr="002C527D">
        <w:rPr>
          <w:spacing w:val="15"/>
        </w:rPr>
        <w:t xml:space="preserve"> </w:t>
      </w:r>
      <w:r w:rsidRPr="002C527D">
        <w:t>required</w:t>
      </w:r>
      <w:r w:rsidRPr="002C527D">
        <w:rPr>
          <w:spacing w:val="14"/>
        </w:rPr>
        <w:t xml:space="preserve"> </w:t>
      </w:r>
      <w:r w:rsidRPr="002C527D">
        <w:t>in P.R. 2-1. The parties also must make a good faith effort to jointly propose Scheduling Order deadlines for this case in accordance with the Patent Case Scheduling Order Template (“Template”), available on the</w:t>
      </w:r>
      <w:r w:rsidRPr="002C527D">
        <w:rPr>
          <w:spacing w:val="15"/>
        </w:rPr>
        <w:t xml:space="preserve"> </w:t>
      </w:r>
      <w:r w:rsidRPr="002C527D">
        <w:t>Court’s</w:t>
      </w:r>
      <w:r w:rsidRPr="002C527D">
        <w:rPr>
          <w:spacing w:val="49"/>
        </w:rPr>
        <w:t xml:space="preserve"> </w:t>
      </w:r>
      <w:r w:rsidRPr="002C527D">
        <w:t>website. The parties may agree to propose to</w:t>
      </w:r>
      <w:r w:rsidRPr="002C527D">
        <w:rPr>
          <w:spacing w:val="-14"/>
        </w:rPr>
        <w:t xml:space="preserve"> </w:t>
      </w:r>
      <w:r w:rsidRPr="002C527D">
        <w:t>adjust deadlines suggested in the Template. The parties must set forth in the JCMP, in brief, their disagreements, if any, on the schedule and procedures they propose to govern this case.</w:t>
      </w:r>
    </w:p>
    <w:p w14:paraId="43C61A24" w14:textId="77777777" w:rsidR="00BF4547" w:rsidRPr="002C527D" w:rsidRDefault="00BF4547" w:rsidP="00A733D0">
      <w:pPr>
        <w:pStyle w:val="Heading1"/>
        <w:ind w:left="0" w:right="-60"/>
        <w:rPr>
          <w:u w:val="none"/>
        </w:rPr>
      </w:pPr>
      <w:r w:rsidRPr="002C527D">
        <w:t>DISCOVERY ORDER</w:t>
      </w:r>
    </w:p>
    <w:p w14:paraId="21E5C1B4" w14:textId="233341A4" w:rsidR="00BF4547" w:rsidRPr="002C527D" w:rsidRDefault="00BF4547" w:rsidP="00A733D0">
      <w:pPr>
        <w:pStyle w:val="BodyText"/>
        <w:ind w:left="0" w:right="-60" w:firstLine="720"/>
      </w:pPr>
      <w:r w:rsidRPr="002C527D">
        <w:t xml:space="preserve">At the Initial Case Management Conference, the parties may make requests and/or suggestions to the Court regarding discovery. In furtherance of the management of the Court’s docket under Federal Rule of Civil Procedure 16, the Court issues the following </w:t>
      </w:r>
      <w:r w:rsidRPr="002C527D">
        <w:rPr>
          <w:b/>
        </w:rPr>
        <w:t>DISCOVERY ORDER</w:t>
      </w:r>
      <w:r w:rsidRPr="002C527D">
        <w:t>, which applies in conjunction with the rest of the Federal Rules of Civil Procedure, the Local Rules of the Southern District of Texas, and the Rules of Practice for Patent Cases in the Southern District of Texas absent further order of the Court:</w:t>
      </w:r>
    </w:p>
    <w:p w14:paraId="0644DC14" w14:textId="00FD3242" w:rsidR="00BF4547" w:rsidRPr="002C527D" w:rsidRDefault="00BF4547" w:rsidP="002B7A82">
      <w:pPr>
        <w:pStyle w:val="ListParagraph"/>
      </w:pPr>
      <w:r w:rsidRPr="002C527D">
        <w:rPr>
          <w:b/>
          <w:bCs/>
        </w:rPr>
        <w:t>Disclosures</w:t>
      </w:r>
      <w:r w:rsidRPr="002C527D">
        <w:t>.</w:t>
      </w:r>
      <w:r w:rsidRPr="002C527D">
        <w:rPr>
          <w:spacing w:val="-12"/>
        </w:rPr>
        <w:t xml:space="preserve"> </w:t>
      </w:r>
      <w:r w:rsidRPr="002C527D">
        <w:rPr>
          <w:spacing w:val="-3"/>
        </w:rPr>
        <w:t>In</w:t>
      </w:r>
      <w:r w:rsidRPr="002C527D">
        <w:rPr>
          <w:spacing w:val="-12"/>
        </w:rPr>
        <w:t xml:space="preserve"> </w:t>
      </w:r>
      <w:r w:rsidRPr="002C527D">
        <w:t>conjunction</w:t>
      </w:r>
      <w:r w:rsidRPr="002C527D">
        <w:rPr>
          <w:spacing w:val="-14"/>
        </w:rPr>
        <w:t xml:space="preserve"> </w:t>
      </w:r>
      <w:r w:rsidRPr="002C527D">
        <w:t>with</w:t>
      </w:r>
      <w:r w:rsidRPr="002C527D">
        <w:rPr>
          <w:spacing w:val="-14"/>
        </w:rPr>
        <w:t xml:space="preserve"> </w:t>
      </w:r>
      <w:r w:rsidRPr="002C527D">
        <w:t>disclosures</w:t>
      </w:r>
      <w:r w:rsidRPr="002C527D">
        <w:rPr>
          <w:spacing w:val="-14"/>
        </w:rPr>
        <w:t xml:space="preserve"> </w:t>
      </w:r>
      <w:r w:rsidRPr="002C527D">
        <w:t>under</w:t>
      </w:r>
      <w:r w:rsidRPr="002C527D">
        <w:rPr>
          <w:spacing w:val="-14"/>
        </w:rPr>
        <w:t xml:space="preserve"> </w:t>
      </w:r>
      <w:r w:rsidRPr="002C527D">
        <w:t>FED.</w:t>
      </w:r>
      <w:r w:rsidRPr="002C527D">
        <w:rPr>
          <w:spacing w:val="-15"/>
        </w:rPr>
        <w:t xml:space="preserve"> </w:t>
      </w:r>
      <w:r w:rsidRPr="002C527D">
        <w:t>R.</w:t>
      </w:r>
      <w:r w:rsidRPr="002C527D">
        <w:rPr>
          <w:spacing w:val="-14"/>
        </w:rPr>
        <w:t xml:space="preserve"> </w:t>
      </w:r>
      <w:r w:rsidRPr="002C527D">
        <w:t>CIV.</w:t>
      </w:r>
      <w:r w:rsidRPr="002C527D">
        <w:rPr>
          <w:spacing w:val="-14"/>
        </w:rPr>
        <w:t xml:space="preserve"> </w:t>
      </w:r>
      <w:r w:rsidRPr="002C527D">
        <w:t>P.</w:t>
      </w:r>
      <w:r w:rsidRPr="002C527D">
        <w:rPr>
          <w:spacing w:val="-14"/>
        </w:rPr>
        <w:t xml:space="preserve"> </w:t>
      </w:r>
      <w:r w:rsidRPr="002C527D">
        <w:t>26(a),</w:t>
      </w:r>
      <w:r w:rsidRPr="002C527D">
        <w:rPr>
          <w:spacing w:val="-14"/>
        </w:rPr>
        <w:t xml:space="preserve"> </w:t>
      </w:r>
      <w:r w:rsidRPr="002C527D">
        <w:t>each</w:t>
      </w:r>
      <w:r w:rsidRPr="002C527D">
        <w:rPr>
          <w:spacing w:val="-13"/>
        </w:rPr>
        <w:t xml:space="preserve"> </w:t>
      </w:r>
      <w:r w:rsidRPr="002C527D">
        <w:t xml:space="preserve">party </w:t>
      </w:r>
      <w:r w:rsidRPr="002C527D">
        <w:lastRenderedPageBreak/>
        <w:t>must</w:t>
      </w:r>
      <w:r w:rsidRPr="002C527D">
        <w:rPr>
          <w:spacing w:val="12"/>
        </w:rPr>
        <w:t xml:space="preserve"> </w:t>
      </w:r>
      <w:r w:rsidRPr="002C527D">
        <w:t>disclose</w:t>
      </w:r>
      <w:r w:rsidRPr="002C527D">
        <w:rPr>
          <w:spacing w:val="11"/>
        </w:rPr>
        <w:t xml:space="preserve"> </w:t>
      </w:r>
      <w:r w:rsidRPr="002C527D">
        <w:t>to</w:t>
      </w:r>
      <w:r w:rsidRPr="002C527D">
        <w:rPr>
          <w:spacing w:val="11"/>
        </w:rPr>
        <w:t xml:space="preserve"> </w:t>
      </w:r>
      <w:r w:rsidRPr="002C527D">
        <w:t>every</w:t>
      </w:r>
      <w:r w:rsidRPr="002C527D">
        <w:rPr>
          <w:spacing w:val="7"/>
        </w:rPr>
        <w:t xml:space="preserve"> </w:t>
      </w:r>
      <w:r w:rsidRPr="002C527D">
        <w:t>other</w:t>
      </w:r>
      <w:r w:rsidRPr="002C527D">
        <w:rPr>
          <w:spacing w:val="11"/>
        </w:rPr>
        <w:t xml:space="preserve"> </w:t>
      </w:r>
      <w:r w:rsidRPr="002C527D">
        <w:t>party</w:t>
      </w:r>
      <w:r w:rsidRPr="002C527D">
        <w:rPr>
          <w:spacing w:val="7"/>
        </w:rPr>
        <w:t xml:space="preserve"> </w:t>
      </w:r>
      <w:r w:rsidRPr="002C527D">
        <w:t>the</w:t>
      </w:r>
      <w:r w:rsidRPr="002C527D">
        <w:rPr>
          <w:spacing w:val="13"/>
        </w:rPr>
        <w:t xml:space="preserve"> </w:t>
      </w:r>
      <w:r w:rsidRPr="002C527D">
        <w:t>following</w:t>
      </w:r>
      <w:r w:rsidRPr="002C527D">
        <w:rPr>
          <w:spacing w:val="11"/>
        </w:rPr>
        <w:t xml:space="preserve"> </w:t>
      </w:r>
      <w:r w:rsidRPr="002C527D">
        <w:t>information</w:t>
      </w:r>
      <w:r w:rsidRPr="002C527D">
        <w:rPr>
          <w:spacing w:val="11"/>
        </w:rPr>
        <w:t xml:space="preserve"> </w:t>
      </w:r>
      <w:r w:rsidRPr="002C527D">
        <w:t>no</w:t>
      </w:r>
      <w:r w:rsidRPr="002C527D">
        <w:rPr>
          <w:spacing w:val="12"/>
        </w:rPr>
        <w:t xml:space="preserve"> </w:t>
      </w:r>
      <w:r w:rsidRPr="002C527D">
        <w:t>later</w:t>
      </w:r>
      <w:r w:rsidRPr="002C527D">
        <w:rPr>
          <w:spacing w:val="11"/>
        </w:rPr>
        <w:t xml:space="preserve"> </w:t>
      </w:r>
      <w:r w:rsidRPr="002C527D">
        <w:t>than</w:t>
      </w:r>
      <w:r w:rsidRPr="002C527D">
        <w:rPr>
          <w:spacing w:val="16"/>
        </w:rPr>
        <w:t xml:space="preserve"> </w:t>
      </w:r>
      <w:r w:rsidRPr="002C527D">
        <w:t>fourteen</w:t>
      </w:r>
      <w:r w:rsidR="005972A9">
        <w:t xml:space="preserve"> </w:t>
      </w:r>
      <w:r w:rsidRPr="002C527D">
        <w:t>(14) days before the Initial Case Management Conference (unless an alternative deadline is agreed to by the Parties):</w:t>
      </w:r>
    </w:p>
    <w:p w14:paraId="1ABB9BE6" w14:textId="77777777" w:rsidR="00BF4547" w:rsidRPr="002C527D" w:rsidRDefault="00BF4547" w:rsidP="002B7A82">
      <w:pPr>
        <w:pStyle w:val="ListParagraph"/>
        <w:numPr>
          <w:ilvl w:val="2"/>
          <w:numId w:val="1"/>
        </w:numPr>
      </w:pPr>
      <w:r w:rsidRPr="002C527D">
        <w:t>the correct names of the parties to the</w:t>
      </w:r>
      <w:r w:rsidRPr="002C527D">
        <w:rPr>
          <w:spacing w:val="-5"/>
        </w:rPr>
        <w:t xml:space="preserve"> </w:t>
      </w:r>
      <w:proofErr w:type="gramStart"/>
      <w:r w:rsidRPr="002C527D">
        <w:t>lawsuit;</w:t>
      </w:r>
      <w:proofErr w:type="gramEnd"/>
    </w:p>
    <w:p w14:paraId="2A58759C" w14:textId="77777777" w:rsidR="00BF4547" w:rsidRPr="002C527D" w:rsidRDefault="00BF4547" w:rsidP="00731638">
      <w:pPr>
        <w:pStyle w:val="ListParagraph"/>
        <w:numPr>
          <w:ilvl w:val="2"/>
          <w:numId w:val="1"/>
        </w:numPr>
      </w:pPr>
      <w:r w:rsidRPr="002C527D">
        <w:t xml:space="preserve">the name, address, and telephone number of any potential </w:t>
      </w:r>
      <w:proofErr w:type="gramStart"/>
      <w:r w:rsidRPr="002C527D">
        <w:t>parties;</w:t>
      </w:r>
      <w:proofErr w:type="gramEnd"/>
    </w:p>
    <w:p w14:paraId="1EA4BE36" w14:textId="77777777" w:rsidR="00BF4547" w:rsidRPr="002C527D" w:rsidRDefault="00BF4547" w:rsidP="00731638">
      <w:pPr>
        <w:pStyle w:val="ListParagraph"/>
        <w:numPr>
          <w:ilvl w:val="2"/>
          <w:numId w:val="1"/>
        </w:numPr>
      </w:pPr>
      <w:r w:rsidRPr="002C527D">
        <w:t>the legal theories and, in general, the factual bases of the disclosing party’s claims or defenses (the disclosing party need not marshal all evidence that may be offered at trial</w:t>
      </w:r>
      <w:proofErr w:type="gramStart"/>
      <w:r w:rsidRPr="002C527D">
        <w:t>);</w:t>
      </w:r>
      <w:proofErr w:type="gramEnd"/>
    </w:p>
    <w:p w14:paraId="3121DD9B" w14:textId="77777777" w:rsidR="00BF4547" w:rsidRPr="002C527D" w:rsidRDefault="00BF4547" w:rsidP="00731638">
      <w:pPr>
        <w:pStyle w:val="ListParagraph"/>
        <w:numPr>
          <w:ilvl w:val="2"/>
          <w:numId w:val="1"/>
        </w:numPr>
      </w:pPr>
      <w:r w:rsidRPr="002C527D">
        <w:t xml:space="preserve">the name, address, and telephone number of persons having knowledge of relevant facts, a brief statement of each identified person’s connection with the case, and a brief, fair summary of the substance of the information known by such </w:t>
      </w:r>
      <w:proofErr w:type="gramStart"/>
      <w:r w:rsidRPr="002C527D">
        <w:t>person;</w:t>
      </w:r>
      <w:proofErr w:type="gramEnd"/>
    </w:p>
    <w:p w14:paraId="7B3F61CA" w14:textId="77777777" w:rsidR="00BF4547" w:rsidRPr="002C527D" w:rsidRDefault="00BF4547" w:rsidP="00731638">
      <w:pPr>
        <w:pStyle w:val="ListParagraph"/>
        <w:numPr>
          <w:ilvl w:val="2"/>
          <w:numId w:val="1"/>
        </w:numPr>
      </w:pPr>
      <w:r w:rsidRPr="002C527D">
        <w:t xml:space="preserve">any indemnity and insuring agreements under which any person or entity may be liable to satisfy part or all of a judgment entered in this action or to indemnify or reimburse for payments made to satisfy the </w:t>
      </w:r>
      <w:proofErr w:type="gramStart"/>
      <w:r w:rsidRPr="002C527D">
        <w:t>judgment;</w:t>
      </w:r>
      <w:proofErr w:type="gramEnd"/>
    </w:p>
    <w:p w14:paraId="49978475" w14:textId="77777777" w:rsidR="00BF4547" w:rsidRPr="002C527D" w:rsidRDefault="00BF4547" w:rsidP="00731638">
      <w:pPr>
        <w:pStyle w:val="ListParagraph"/>
        <w:numPr>
          <w:ilvl w:val="2"/>
          <w:numId w:val="1"/>
        </w:numPr>
      </w:pPr>
      <w:r w:rsidRPr="002C527D">
        <w:t>any settlement agreements relevant to the subject matter of this action; and</w:t>
      </w:r>
    </w:p>
    <w:p w14:paraId="54C162EE" w14:textId="77777777" w:rsidR="00BF4547" w:rsidRPr="002C527D" w:rsidRDefault="00BF4547" w:rsidP="00731638">
      <w:pPr>
        <w:pStyle w:val="ListParagraph"/>
        <w:numPr>
          <w:ilvl w:val="2"/>
          <w:numId w:val="1"/>
        </w:numPr>
      </w:pPr>
      <w:r w:rsidRPr="002C527D">
        <w:t>any statement of any party to the litigation.</w:t>
      </w:r>
    </w:p>
    <w:p w14:paraId="19FD29EB" w14:textId="77777777" w:rsidR="00BF4547" w:rsidRPr="002C527D" w:rsidRDefault="00BF4547" w:rsidP="002B7A82">
      <w:pPr>
        <w:pStyle w:val="ListParagraph"/>
      </w:pPr>
      <w:r w:rsidRPr="002C527D">
        <w:rPr>
          <w:b/>
        </w:rPr>
        <w:t xml:space="preserve">Additional Disclosures. </w:t>
      </w:r>
      <w:r w:rsidRPr="002C527D">
        <w:t>Each party must provide to every other party the</w:t>
      </w:r>
      <w:r w:rsidRPr="002C527D">
        <w:rPr>
          <w:spacing w:val="-38"/>
        </w:rPr>
        <w:t xml:space="preserve"> </w:t>
      </w:r>
      <w:r w:rsidRPr="002C527D">
        <w:t>following information:</w:t>
      </w:r>
    </w:p>
    <w:p w14:paraId="203DCD9A" w14:textId="77777777" w:rsidR="00BF4547" w:rsidRPr="002C527D" w:rsidRDefault="00BF4547" w:rsidP="00731638">
      <w:pPr>
        <w:pStyle w:val="ListParagraph"/>
        <w:numPr>
          <w:ilvl w:val="2"/>
          <w:numId w:val="1"/>
        </w:numPr>
      </w:pPr>
      <w:r w:rsidRPr="002C527D">
        <w:t>the disclosures required by the Court’s Patent Rules in accordance with the deadlines set forth in the Scheduling</w:t>
      </w:r>
      <w:r w:rsidRPr="002C527D">
        <w:rPr>
          <w:spacing w:val="-4"/>
        </w:rPr>
        <w:t xml:space="preserve"> </w:t>
      </w:r>
      <w:proofErr w:type="gramStart"/>
      <w:r w:rsidRPr="002C527D">
        <w:t>Order;</w:t>
      </w:r>
      <w:proofErr w:type="gramEnd"/>
    </w:p>
    <w:p w14:paraId="7E054D61" w14:textId="77777777" w:rsidR="00BF4547" w:rsidRPr="002C527D" w:rsidRDefault="00BF4547" w:rsidP="00731638">
      <w:pPr>
        <w:pStyle w:val="ListParagraph"/>
        <w:numPr>
          <w:ilvl w:val="2"/>
          <w:numId w:val="1"/>
        </w:numPr>
      </w:pPr>
      <w:r w:rsidRPr="002C527D">
        <w:t xml:space="preserve">to the extent that any party pleads a claim for relief or defensive matter other than those addressed in the Patent Rules, within 6 weeks after the Initial Case Management Conference or the date the Scheduling Order is issued </w:t>
      </w:r>
      <w:r w:rsidRPr="002C527D">
        <w:rPr>
          <w:spacing w:val="2"/>
        </w:rPr>
        <w:t xml:space="preserve">by </w:t>
      </w:r>
      <w:r w:rsidRPr="002C527D">
        <w:t>the Court, whichever is earlier, without awaiting a discovery request, and subject to</w:t>
      </w:r>
      <w:r w:rsidRPr="002C527D">
        <w:rPr>
          <w:spacing w:val="1"/>
        </w:rPr>
        <w:t xml:space="preserve"> </w:t>
      </w:r>
      <w:r w:rsidRPr="002C527D">
        <w:t>the limitations</w:t>
      </w:r>
      <w:r w:rsidRPr="002C527D">
        <w:rPr>
          <w:spacing w:val="1"/>
        </w:rPr>
        <w:t xml:space="preserve"> </w:t>
      </w:r>
      <w:r w:rsidRPr="002C527D">
        <w:t>of FED.</w:t>
      </w:r>
      <w:r w:rsidRPr="002C527D">
        <w:rPr>
          <w:spacing w:val="-14"/>
        </w:rPr>
        <w:t xml:space="preserve"> </w:t>
      </w:r>
      <w:r w:rsidRPr="002C527D">
        <w:t>R.</w:t>
      </w:r>
      <w:r w:rsidRPr="002C527D">
        <w:rPr>
          <w:spacing w:val="-13"/>
        </w:rPr>
        <w:t xml:space="preserve"> </w:t>
      </w:r>
      <w:r w:rsidRPr="002C527D">
        <w:t>CIV.</w:t>
      </w:r>
      <w:r w:rsidRPr="002C527D">
        <w:rPr>
          <w:spacing w:val="-13"/>
        </w:rPr>
        <w:t xml:space="preserve"> </w:t>
      </w:r>
      <w:r w:rsidRPr="002C527D">
        <w:t>P.</w:t>
      </w:r>
      <w:r w:rsidRPr="002C527D">
        <w:rPr>
          <w:spacing w:val="-13"/>
        </w:rPr>
        <w:t xml:space="preserve"> </w:t>
      </w:r>
      <w:r w:rsidRPr="002C527D">
        <w:t>26(b)(1),</w:t>
      </w:r>
      <w:r w:rsidRPr="002C527D">
        <w:rPr>
          <w:spacing w:val="1"/>
        </w:rPr>
        <w:t xml:space="preserve"> </w:t>
      </w:r>
      <w:r w:rsidRPr="002C527D">
        <w:t>a copy</w:t>
      </w:r>
      <w:r w:rsidRPr="002C527D">
        <w:rPr>
          <w:spacing w:val="-1"/>
        </w:rPr>
        <w:t xml:space="preserve"> </w:t>
      </w:r>
      <w:r w:rsidRPr="002C527D">
        <w:t>of reasonably</w:t>
      </w:r>
      <w:r w:rsidRPr="002C527D">
        <w:rPr>
          <w:spacing w:val="-4"/>
        </w:rPr>
        <w:t xml:space="preserve"> </w:t>
      </w:r>
      <w:r w:rsidRPr="002C527D">
        <w:t>accessible, nonprivileged documents, data compilations and tangible things in the possession, custody, or control of the party relevant to those additionally pleaded claims or defenses involved in this action;</w:t>
      </w:r>
      <w:r w:rsidRPr="002C527D">
        <w:rPr>
          <w:spacing w:val="-4"/>
        </w:rPr>
        <w:t xml:space="preserve"> </w:t>
      </w:r>
      <w:r w:rsidRPr="002C527D">
        <w:t>and</w:t>
      </w:r>
    </w:p>
    <w:p w14:paraId="2C768A89" w14:textId="77777777" w:rsidR="00BF4547" w:rsidRPr="002C527D" w:rsidRDefault="00BF4547" w:rsidP="00731638">
      <w:pPr>
        <w:pStyle w:val="ListParagraph"/>
        <w:numPr>
          <w:ilvl w:val="2"/>
          <w:numId w:val="1"/>
        </w:numPr>
      </w:pPr>
      <w:r w:rsidRPr="002C527D">
        <w:t>within</w:t>
      </w:r>
      <w:r w:rsidRPr="002C527D">
        <w:rPr>
          <w:spacing w:val="-15"/>
        </w:rPr>
        <w:t xml:space="preserve"> </w:t>
      </w:r>
      <w:r w:rsidRPr="002C527D">
        <w:t>6</w:t>
      </w:r>
      <w:r w:rsidRPr="002C527D">
        <w:rPr>
          <w:spacing w:val="-14"/>
        </w:rPr>
        <w:t xml:space="preserve"> </w:t>
      </w:r>
      <w:r w:rsidRPr="002C527D">
        <w:t>weeks</w:t>
      </w:r>
      <w:r w:rsidRPr="002C527D">
        <w:rPr>
          <w:spacing w:val="-14"/>
        </w:rPr>
        <w:t xml:space="preserve"> </w:t>
      </w:r>
      <w:r w:rsidRPr="002C527D">
        <w:t>after</w:t>
      </w:r>
      <w:r w:rsidRPr="002C527D">
        <w:rPr>
          <w:spacing w:val="-15"/>
        </w:rPr>
        <w:t xml:space="preserve"> </w:t>
      </w:r>
      <w:r w:rsidRPr="002C527D">
        <w:t>the</w:t>
      </w:r>
      <w:r w:rsidRPr="002C527D">
        <w:rPr>
          <w:spacing w:val="-15"/>
        </w:rPr>
        <w:t xml:space="preserve"> </w:t>
      </w:r>
      <w:r w:rsidRPr="002C527D">
        <w:t>production</w:t>
      </w:r>
      <w:r w:rsidRPr="002C527D">
        <w:rPr>
          <w:spacing w:val="-15"/>
        </w:rPr>
        <w:t xml:space="preserve"> </w:t>
      </w:r>
      <w:r w:rsidRPr="002C527D">
        <w:t>of</w:t>
      </w:r>
      <w:r w:rsidRPr="002C527D">
        <w:rPr>
          <w:spacing w:val="-15"/>
        </w:rPr>
        <w:t xml:space="preserve"> </w:t>
      </w:r>
      <w:r w:rsidRPr="002C527D">
        <w:t>information</w:t>
      </w:r>
      <w:r w:rsidRPr="002C527D">
        <w:rPr>
          <w:spacing w:val="-17"/>
        </w:rPr>
        <w:t xml:space="preserve"> </w:t>
      </w:r>
      <w:r w:rsidRPr="002C527D">
        <w:t>under</w:t>
      </w:r>
      <w:r w:rsidRPr="002C527D">
        <w:rPr>
          <w:spacing w:val="-15"/>
        </w:rPr>
        <w:t xml:space="preserve"> </w:t>
      </w:r>
      <w:r w:rsidRPr="002C527D">
        <w:t>P.R.</w:t>
      </w:r>
      <w:r w:rsidRPr="002C527D">
        <w:rPr>
          <w:spacing w:val="-15"/>
        </w:rPr>
        <w:t xml:space="preserve"> </w:t>
      </w:r>
      <w:r w:rsidRPr="002C527D">
        <w:t>3-4(c)</w:t>
      </w:r>
      <w:r w:rsidRPr="002C527D">
        <w:rPr>
          <w:spacing w:val="-15"/>
        </w:rPr>
        <w:t xml:space="preserve"> </w:t>
      </w:r>
      <w:r w:rsidRPr="002C527D">
        <w:t>and</w:t>
      </w:r>
      <w:r w:rsidRPr="002C527D">
        <w:rPr>
          <w:spacing w:val="-14"/>
        </w:rPr>
        <w:t xml:space="preserve"> </w:t>
      </w:r>
      <w:r w:rsidRPr="002C527D">
        <w:t xml:space="preserve">based on information then available, a good faith computation of any category of damages (except attorney’s fees) claimed </w:t>
      </w:r>
      <w:r w:rsidRPr="002C527D">
        <w:rPr>
          <w:spacing w:val="2"/>
        </w:rPr>
        <w:t xml:space="preserve">by </w:t>
      </w:r>
      <w:r w:rsidRPr="002C527D">
        <w:t>any party to the action and production of any documents or other evidentiary materials on which such computation is</w:t>
      </w:r>
      <w:r w:rsidRPr="002C527D">
        <w:rPr>
          <w:spacing w:val="-1"/>
        </w:rPr>
        <w:t xml:space="preserve"> </w:t>
      </w:r>
      <w:r w:rsidRPr="002C527D">
        <w:t>based.</w:t>
      </w:r>
    </w:p>
    <w:p w14:paraId="5AAD6CD4" w14:textId="77777777" w:rsidR="00BF4547" w:rsidRPr="002C527D" w:rsidRDefault="00BF4547" w:rsidP="002B7A82">
      <w:pPr>
        <w:pStyle w:val="ListParagraph"/>
      </w:pPr>
      <w:r w:rsidRPr="002C527D">
        <w:rPr>
          <w:b/>
        </w:rPr>
        <w:t>Discovery</w:t>
      </w:r>
      <w:r w:rsidRPr="002C527D">
        <w:rPr>
          <w:b/>
          <w:spacing w:val="-12"/>
        </w:rPr>
        <w:t xml:space="preserve"> </w:t>
      </w:r>
      <w:r w:rsidRPr="002C527D">
        <w:rPr>
          <w:b/>
        </w:rPr>
        <w:t>Limitations.</w:t>
      </w:r>
      <w:r w:rsidRPr="002C527D">
        <w:rPr>
          <w:b/>
          <w:spacing w:val="-11"/>
        </w:rPr>
        <w:t xml:space="preserve"> </w:t>
      </w:r>
      <w:r w:rsidRPr="002C527D">
        <w:t>Discovery</w:t>
      </w:r>
      <w:r w:rsidRPr="002C527D">
        <w:rPr>
          <w:spacing w:val="-17"/>
        </w:rPr>
        <w:t xml:space="preserve"> </w:t>
      </w:r>
      <w:r w:rsidRPr="002C527D">
        <w:t>is</w:t>
      </w:r>
      <w:r w:rsidRPr="002C527D">
        <w:rPr>
          <w:spacing w:val="-11"/>
        </w:rPr>
        <w:t xml:space="preserve"> </w:t>
      </w:r>
      <w:r w:rsidRPr="002C527D">
        <w:t>limited</w:t>
      </w:r>
      <w:r w:rsidRPr="002C527D">
        <w:rPr>
          <w:spacing w:val="-11"/>
        </w:rPr>
        <w:t xml:space="preserve"> </w:t>
      </w:r>
      <w:r w:rsidRPr="002C527D">
        <w:t>in</w:t>
      </w:r>
      <w:r w:rsidRPr="002C527D">
        <w:rPr>
          <w:spacing w:val="-12"/>
        </w:rPr>
        <w:t xml:space="preserve"> </w:t>
      </w:r>
      <w:r w:rsidRPr="002C527D">
        <w:t>this</w:t>
      </w:r>
      <w:r w:rsidRPr="002C527D">
        <w:rPr>
          <w:spacing w:val="-10"/>
        </w:rPr>
        <w:t xml:space="preserve"> </w:t>
      </w:r>
      <w:r w:rsidRPr="002C527D">
        <w:t>case</w:t>
      </w:r>
      <w:r w:rsidRPr="002C527D">
        <w:rPr>
          <w:spacing w:val="-13"/>
        </w:rPr>
        <w:t xml:space="preserve"> </w:t>
      </w:r>
      <w:r w:rsidRPr="002C527D">
        <w:t>to</w:t>
      </w:r>
      <w:r w:rsidRPr="002C527D">
        <w:rPr>
          <w:spacing w:val="-9"/>
        </w:rPr>
        <w:t xml:space="preserve"> </w:t>
      </w:r>
      <w:r w:rsidRPr="002C527D">
        <w:t>the</w:t>
      </w:r>
      <w:r w:rsidRPr="002C527D">
        <w:rPr>
          <w:spacing w:val="-13"/>
        </w:rPr>
        <w:t xml:space="preserve"> </w:t>
      </w:r>
      <w:r w:rsidRPr="002C527D">
        <w:t>disclosures</w:t>
      </w:r>
      <w:r w:rsidRPr="002C527D">
        <w:rPr>
          <w:spacing w:val="-6"/>
        </w:rPr>
        <w:t xml:space="preserve"> </w:t>
      </w:r>
      <w:r w:rsidRPr="002C527D">
        <w:t xml:space="preserve">described </w:t>
      </w:r>
      <w:r w:rsidRPr="002C527D">
        <w:lastRenderedPageBreak/>
        <w:t>in Paragraphs 1-2 together with that provided for in the Federal Rules of Civil Procedure. The parties may agree to additional discovery or seek relief from the Court to modify these discovery limitations if no agreement can be</w:t>
      </w:r>
      <w:r w:rsidRPr="002C527D">
        <w:rPr>
          <w:spacing w:val="-16"/>
        </w:rPr>
        <w:t xml:space="preserve"> </w:t>
      </w:r>
      <w:r w:rsidRPr="002C527D">
        <w:t>reached.</w:t>
      </w:r>
    </w:p>
    <w:p w14:paraId="4A34F0A9" w14:textId="77777777" w:rsidR="00BF4547" w:rsidRPr="002C527D" w:rsidRDefault="00BF4547" w:rsidP="002B7A82">
      <w:pPr>
        <w:pStyle w:val="ListParagraph"/>
      </w:pPr>
      <w:r w:rsidRPr="002C527D">
        <w:rPr>
          <w:b/>
        </w:rPr>
        <w:t>Privileged Information</w:t>
      </w:r>
      <w:r w:rsidRPr="002C527D">
        <w:t>. There is no duty to disclose privileged documents or information.</w:t>
      </w:r>
    </w:p>
    <w:p w14:paraId="6C014F98" w14:textId="77777777" w:rsidR="00BF4547" w:rsidRPr="002C527D" w:rsidRDefault="00BF4547" w:rsidP="00731638">
      <w:pPr>
        <w:pStyle w:val="ListParagraph"/>
        <w:numPr>
          <w:ilvl w:val="2"/>
          <w:numId w:val="1"/>
        </w:numPr>
      </w:pPr>
      <w:r w:rsidRPr="002C527D">
        <w:t>By the date provided in the Scheduling Order, the parties must exchange privilege logs identifying the documents or information and the basis for any disputed claim of privilege in a manner that, without revealing information itself privileged or protected, will enable the other parties to assess the applicability of the privilege or</w:t>
      </w:r>
      <w:r w:rsidRPr="002C527D">
        <w:rPr>
          <w:spacing w:val="-10"/>
        </w:rPr>
        <w:t xml:space="preserve"> </w:t>
      </w:r>
      <w:r w:rsidRPr="002C527D">
        <w:t>protection.</w:t>
      </w:r>
    </w:p>
    <w:p w14:paraId="09577002" w14:textId="77777777" w:rsidR="00BF4547" w:rsidRPr="002C527D" w:rsidRDefault="00BF4547" w:rsidP="00731638">
      <w:pPr>
        <w:pStyle w:val="ListParagraph"/>
        <w:numPr>
          <w:ilvl w:val="2"/>
          <w:numId w:val="1"/>
        </w:numPr>
      </w:pPr>
      <w:r w:rsidRPr="002C527D">
        <w:t xml:space="preserve">A party may move the Court for an order compelling the production of any privileged documents or information identified on any other party’s privilege log. If such a motion is made, the party asserting the privilege must file with the Court—within twenty-one (21) days of the filing of the motion to compel—proof in the form of declarations or affidavits to support their assertions of privilege, along with the documents over which privilege is asserted for </w:t>
      </w:r>
      <w:r w:rsidRPr="002C527D">
        <w:rPr>
          <w:i/>
        </w:rPr>
        <w:t>in camera</w:t>
      </w:r>
      <w:r w:rsidRPr="002C527D">
        <w:rPr>
          <w:i/>
          <w:spacing w:val="-2"/>
        </w:rPr>
        <w:t xml:space="preserve"> </w:t>
      </w:r>
      <w:r w:rsidRPr="002C527D">
        <w:t>inspection.</w:t>
      </w:r>
    </w:p>
    <w:p w14:paraId="7A70C4E1" w14:textId="77777777" w:rsidR="00BF4547" w:rsidRPr="002C527D" w:rsidRDefault="00BF4547" w:rsidP="002B7A82">
      <w:pPr>
        <w:pStyle w:val="ListParagraph"/>
      </w:pPr>
      <w:r w:rsidRPr="002C527D">
        <w:rPr>
          <w:b/>
        </w:rPr>
        <w:t>Protective</w:t>
      </w:r>
      <w:r w:rsidRPr="002C527D">
        <w:rPr>
          <w:b/>
          <w:spacing w:val="-8"/>
        </w:rPr>
        <w:t xml:space="preserve"> </w:t>
      </w:r>
      <w:r w:rsidRPr="002C527D">
        <w:rPr>
          <w:b/>
        </w:rPr>
        <w:t>Order.</w:t>
      </w:r>
      <w:r w:rsidRPr="002C527D">
        <w:rPr>
          <w:b/>
          <w:spacing w:val="-4"/>
        </w:rPr>
        <w:t xml:space="preserve"> </w:t>
      </w:r>
      <w:r w:rsidRPr="002C527D">
        <w:t>In</w:t>
      </w:r>
      <w:r w:rsidRPr="002C527D">
        <w:rPr>
          <w:spacing w:val="-5"/>
        </w:rPr>
        <w:t xml:space="preserve"> </w:t>
      </w:r>
      <w:r w:rsidRPr="002C527D">
        <w:t>accordance</w:t>
      </w:r>
      <w:r w:rsidRPr="002C527D">
        <w:rPr>
          <w:spacing w:val="-6"/>
        </w:rPr>
        <w:t xml:space="preserve"> </w:t>
      </w:r>
      <w:r w:rsidRPr="002C527D">
        <w:t>with</w:t>
      </w:r>
      <w:r w:rsidRPr="002C527D">
        <w:rPr>
          <w:spacing w:val="-6"/>
        </w:rPr>
        <w:t xml:space="preserve"> </w:t>
      </w:r>
      <w:r w:rsidRPr="002C527D">
        <w:t>P.R.</w:t>
      </w:r>
      <w:r w:rsidRPr="002C527D">
        <w:rPr>
          <w:spacing w:val="-6"/>
        </w:rPr>
        <w:t xml:space="preserve"> </w:t>
      </w:r>
      <w:r w:rsidRPr="002C527D">
        <w:t>2-2</w:t>
      </w:r>
      <w:r w:rsidRPr="002C527D">
        <w:rPr>
          <w:spacing w:val="-7"/>
        </w:rPr>
        <w:t xml:space="preserve"> </w:t>
      </w:r>
      <w:r w:rsidRPr="002C527D">
        <w:t>and</w:t>
      </w:r>
      <w:r w:rsidRPr="002C527D">
        <w:rPr>
          <w:spacing w:val="-6"/>
        </w:rPr>
        <w:t xml:space="preserve"> </w:t>
      </w:r>
      <w:r w:rsidRPr="002C527D">
        <w:t>absent</w:t>
      </w:r>
      <w:r w:rsidRPr="002C527D">
        <w:rPr>
          <w:spacing w:val="-7"/>
        </w:rPr>
        <w:t xml:space="preserve"> </w:t>
      </w:r>
      <w:r w:rsidRPr="002C527D">
        <w:t>entry</w:t>
      </w:r>
      <w:r w:rsidRPr="002C527D">
        <w:rPr>
          <w:spacing w:val="-9"/>
        </w:rPr>
        <w:t xml:space="preserve"> </w:t>
      </w:r>
      <w:r w:rsidRPr="002C527D">
        <w:t>of</w:t>
      </w:r>
      <w:r w:rsidRPr="002C527D">
        <w:rPr>
          <w:spacing w:val="-6"/>
        </w:rPr>
        <w:t xml:space="preserve"> </w:t>
      </w:r>
      <w:r w:rsidRPr="002C527D">
        <w:t>a</w:t>
      </w:r>
      <w:r w:rsidRPr="002C527D">
        <w:rPr>
          <w:spacing w:val="-7"/>
        </w:rPr>
        <w:t xml:space="preserve"> </w:t>
      </w:r>
      <w:r w:rsidRPr="002C527D">
        <w:t>later</w:t>
      </w:r>
      <w:r w:rsidRPr="002C527D">
        <w:rPr>
          <w:spacing w:val="-6"/>
        </w:rPr>
        <w:t xml:space="preserve"> </w:t>
      </w:r>
      <w:r w:rsidRPr="002C527D">
        <w:t xml:space="preserve">Protective Order </w:t>
      </w:r>
      <w:r w:rsidRPr="002C527D">
        <w:rPr>
          <w:spacing w:val="2"/>
        </w:rPr>
        <w:t xml:space="preserve">by </w:t>
      </w:r>
      <w:r w:rsidRPr="002C527D">
        <w:t>the Court, the form Protective Order for use in patent cases (available at the</w:t>
      </w:r>
      <w:r w:rsidRPr="002C527D">
        <w:rPr>
          <w:spacing w:val="21"/>
        </w:rPr>
        <w:t xml:space="preserve"> </w:t>
      </w:r>
      <w:proofErr w:type="gramStart"/>
      <w:r w:rsidRPr="002C527D">
        <w:t>District’s</w:t>
      </w:r>
      <w:proofErr w:type="gramEnd"/>
      <w:r w:rsidRPr="002C527D">
        <w:rPr>
          <w:spacing w:val="23"/>
        </w:rPr>
        <w:t xml:space="preserve"> </w:t>
      </w:r>
      <w:r w:rsidRPr="002C527D">
        <w:t>website)</w:t>
      </w:r>
      <w:r w:rsidRPr="002C527D">
        <w:rPr>
          <w:spacing w:val="23"/>
        </w:rPr>
        <w:t xml:space="preserve"> </w:t>
      </w:r>
      <w:r w:rsidRPr="002C527D">
        <w:t>applies</w:t>
      </w:r>
      <w:r w:rsidRPr="002C527D">
        <w:rPr>
          <w:spacing w:val="23"/>
        </w:rPr>
        <w:t xml:space="preserve"> </w:t>
      </w:r>
      <w:r w:rsidRPr="002C527D">
        <w:t>to</w:t>
      </w:r>
      <w:r w:rsidRPr="002C527D">
        <w:rPr>
          <w:spacing w:val="22"/>
        </w:rPr>
        <w:t xml:space="preserve"> </w:t>
      </w:r>
      <w:r w:rsidRPr="002C527D">
        <w:t>this</w:t>
      </w:r>
      <w:r w:rsidRPr="002C527D">
        <w:rPr>
          <w:spacing w:val="23"/>
        </w:rPr>
        <w:t xml:space="preserve"> </w:t>
      </w:r>
      <w:r w:rsidRPr="002C527D">
        <w:t>case</w:t>
      </w:r>
      <w:r w:rsidRPr="002C527D">
        <w:rPr>
          <w:spacing w:val="21"/>
        </w:rPr>
        <w:t xml:space="preserve"> </w:t>
      </w:r>
      <w:r w:rsidRPr="002C527D">
        <w:t>to</w:t>
      </w:r>
      <w:r w:rsidRPr="002C527D">
        <w:rPr>
          <w:spacing w:val="23"/>
        </w:rPr>
        <w:t xml:space="preserve"> </w:t>
      </w:r>
      <w:r w:rsidRPr="002C527D">
        <w:t>ensure</w:t>
      </w:r>
      <w:r w:rsidRPr="002C527D">
        <w:rPr>
          <w:spacing w:val="21"/>
        </w:rPr>
        <w:t xml:space="preserve"> </w:t>
      </w:r>
      <w:r w:rsidRPr="002C527D">
        <w:t>the</w:t>
      </w:r>
      <w:r w:rsidRPr="002C527D">
        <w:rPr>
          <w:spacing w:val="22"/>
        </w:rPr>
        <w:t xml:space="preserve"> </w:t>
      </w:r>
      <w:r w:rsidRPr="002C527D">
        <w:t>confidentiality</w:t>
      </w:r>
      <w:r w:rsidRPr="002C527D">
        <w:rPr>
          <w:spacing w:val="17"/>
        </w:rPr>
        <w:t xml:space="preserve"> </w:t>
      </w:r>
      <w:r w:rsidRPr="002C527D">
        <w:t>of</w:t>
      </w:r>
      <w:r w:rsidRPr="002C527D">
        <w:rPr>
          <w:spacing w:val="24"/>
        </w:rPr>
        <w:t xml:space="preserve"> </w:t>
      </w:r>
      <w:r w:rsidRPr="002C527D">
        <w:t>parties’ materials is maintained. The parties may propose modifications to the form pursuant to P.R. 2-2.</w:t>
      </w:r>
    </w:p>
    <w:p w14:paraId="533DE8DE" w14:textId="77777777" w:rsidR="00BF4547" w:rsidRPr="002C527D" w:rsidRDefault="00BF4547" w:rsidP="002B7A82">
      <w:pPr>
        <w:pStyle w:val="ListParagraph"/>
      </w:pPr>
      <w:r w:rsidRPr="002C527D">
        <w:rPr>
          <w:b/>
        </w:rPr>
        <w:t>Rules</w:t>
      </w:r>
      <w:r w:rsidRPr="002C527D">
        <w:rPr>
          <w:b/>
          <w:spacing w:val="-5"/>
        </w:rPr>
        <w:t xml:space="preserve"> </w:t>
      </w:r>
      <w:r w:rsidRPr="002C527D">
        <w:rPr>
          <w:b/>
        </w:rPr>
        <w:t>of</w:t>
      </w:r>
      <w:r w:rsidRPr="002C527D">
        <w:rPr>
          <w:b/>
          <w:spacing w:val="-3"/>
        </w:rPr>
        <w:t xml:space="preserve"> </w:t>
      </w:r>
      <w:r w:rsidRPr="002C527D">
        <w:rPr>
          <w:b/>
        </w:rPr>
        <w:t>Practice</w:t>
      </w:r>
      <w:r w:rsidRPr="002C527D">
        <w:t>.</w:t>
      </w:r>
      <w:r w:rsidRPr="002C527D">
        <w:rPr>
          <w:spacing w:val="-3"/>
        </w:rPr>
        <w:t xml:space="preserve"> </w:t>
      </w:r>
      <w:r w:rsidRPr="002C527D">
        <w:t>The</w:t>
      </w:r>
      <w:r w:rsidRPr="002C527D">
        <w:rPr>
          <w:spacing w:val="-3"/>
        </w:rPr>
        <w:t xml:space="preserve"> </w:t>
      </w:r>
      <w:r w:rsidRPr="002C527D">
        <w:t>Federal</w:t>
      </w:r>
      <w:r w:rsidRPr="002C527D">
        <w:rPr>
          <w:spacing w:val="-5"/>
        </w:rPr>
        <w:t xml:space="preserve"> </w:t>
      </w:r>
      <w:r w:rsidRPr="002C527D">
        <w:t>Rules</w:t>
      </w:r>
      <w:r w:rsidRPr="002C527D">
        <w:rPr>
          <w:spacing w:val="-5"/>
        </w:rPr>
        <w:t xml:space="preserve"> </w:t>
      </w:r>
      <w:r w:rsidRPr="002C527D">
        <w:t>of</w:t>
      </w:r>
      <w:r w:rsidRPr="002C527D">
        <w:rPr>
          <w:spacing w:val="-6"/>
        </w:rPr>
        <w:t xml:space="preserve"> </w:t>
      </w:r>
      <w:r w:rsidRPr="002C527D">
        <w:t>Civil</w:t>
      </w:r>
      <w:r w:rsidRPr="002C527D">
        <w:rPr>
          <w:spacing w:val="-5"/>
        </w:rPr>
        <w:t xml:space="preserve"> </w:t>
      </w:r>
      <w:r w:rsidRPr="002C527D">
        <w:t>Procedure,</w:t>
      </w:r>
      <w:r w:rsidRPr="002C527D">
        <w:rPr>
          <w:spacing w:val="-3"/>
        </w:rPr>
        <w:t xml:space="preserve"> </w:t>
      </w:r>
      <w:r w:rsidRPr="002C527D">
        <w:t>the</w:t>
      </w:r>
      <w:r w:rsidRPr="002C527D">
        <w:rPr>
          <w:spacing w:val="-6"/>
        </w:rPr>
        <w:t xml:space="preserve"> </w:t>
      </w:r>
      <w:r w:rsidRPr="002C527D">
        <w:t>District’s</w:t>
      </w:r>
      <w:r w:rsidRPr="002C527D">
        <w:rPr>
          <w:spacing w:val="1"/>
        </w:rPr>
        <w:t xml:space="preserve"> </w:t>
      </w:r>
      <w:r w:rsidRPr="002C527D">
        <w:t>Local</w:t>
      </w:r>
      <w:r w:rsidRPr="002C527D">
        <w:rPr>
          <w:spacing w:val="-5"/>
        </w:rPr>
        <w:t xml:space="preserve"> </w:t>
      </w:r>
      <w:r w:rsidRPr="002C527D">
        <w:t xml:space="preserve">Rules, and the District’s Local Patent Rules apply in this case, unless otherwise ordered. The District Local Rules and the Local Patent Rules are available at the </w:t>
      </w:r>
      <w:proofErr w:type="gramStart"/>
      <w:r w:rsidRPr="002C527D">
        <w:t>District’s</w:t>
      </w:r>
      <w:proofErr w:type="gramEnd"/>
      <w:r w:rsidRPr="002C527D">
        <w:t xml:space="preserve"> website.</w:t>
      </w:r>
    </w:p>
    <w:p w14:paraId="091B73AE" w14:textId="77777777" w:rsidR="00BF4547" w:rsidRPr="002C527D" w:rsidRDefault="00BF4547" w:rsidP="002B7A82">
      <w:pPr>
        <w:pStyle w:val="ListParagraph"/>
      </w:pPr>
      <w:r w:rsidRPr="002C527D">
        <w:rPr>
          <w:b/>
        </w:rPr>
        <w:t>Discovery Disputes</w:t>
      </w:r>
      <w:r w:rsidRPr="002C527D">
        <w:t xml:space="preserve">. Counsel </w:t>
      </w:r>
      <w:proofErr w:type="gramStart"/>
      <w:r w:rsidRPr="002C527D">
        <w:t>are</w:t>
      </w:r>
      <w:proofErr w:type="gramEnd"/>
      <w:r w:rsidRPr="002C527D">
        <w:t xml:space="preserve"> directed to adhere to procedures of the presiding judge for bringing discovery disputes to the Court’s</w:t>
      </w:r>
      <w:r w:rsidRPr="002C527D">
        <w:rPr>
          <w:spacing w:val="-12"/>
        </w:rPr>
        <w:t xml:space="preserve"> </w:t>
      </w:r>
      <w:r w:rsidRPr="002C527D">
        <w:t>attention.</w:t>
      </w:r>
    </w:p>
    <w:p w14:paraId="7D318451" w14:textId="77777777" w:rsidR="00BF4547" w:rsidRPr="002C527D" w:rsidRDefault="00BF4547" w:rsidP="002B7A82">
      <w:pPr>
        <w:pStyle w:val="ListParagraph"/>
      </w:pPr>
      <w:r w:rsidRPr="002C527D">
        <w:rPr>
          <w:b/>
        </w:rPr>
        <w:t xml:space="preserve">No Excuses. </w:t>
      </w:r>
      <w:r w:rsidRPr="002C527D">
        <w:t>A party is not excused from the requirements of this Discovery Order because it has not fully completed its investigation of the case, or because it challenges the sufficiency of another party’s disclosures, or because another party has not made its disclosures. Absent Court order to the contrary, a party is not excused</w:t>
      </w:r>
      <w:r w:rsidRPr="002C527D">
        <w:rPr>
          <w:spacing w:val="-4"/>
        </w:rPr>
        <w:t xml:space="preserve"> </w:t>
      </w:r>
      <w:r w:rsidRPr="002C527D">
        <w:t>from</w:t>
      </w:r>
      <w:r w:rsidRPr="002C527D">
        <w:rPr>
          <w:spacing w:val="-4"/>
        </w:rPr>
        <w:t xml:space="preserve"> </w:t>
      </w:r>
      <w:r w:rsidRPr="002C527D">
        <w:t>disclosure</w:t>
      </w:r>
      <w:r w:rsidRPr="002C527D">
        <w:rPr>
          <w:spacing w:val="-3"/>
        </w:rPr>
        <w:t xml:space="preserve"> </w:t>
      </w:r>
      <w:r w:rsidRPr="002C527D">
        <w:t>because</w:t>
      </w:r>
      <w:r w:rsidRPr="002C527D">
        <w:rPr>
          <w:spacing w:val="-2"/>
        </w:rPr>
        <w:t xml:space="preserve"> </w:t>
      </w:r>
      <w:r w:rsidRPr="002C527D">
        <w:t>there</w:t>
      </w:r>
      <w:r w:rsidRPr="002C527D">
        <w:rPr>
          <w:spacing w:val="-5"/>
        </w:rPr>
        <w:t xml:space="preserve"> </w:t>
      </w:r>
      <w:r w:rsidRPr="002C527D">
        <w:t>are</w:t>
      </w:r>
      <w:r w:rsidRPr="002C527D">
        <w:rPr>
          <w:spacing w:val="-5"/>
        </w:rPr>
        <w:t xml:space="preserve"> </w:t>
      </w:r>
      <w:r w:rsidRPr="002C527D">
        <w:t>pending</w:t>
      </w:r>
      <w:r w:rsidRPr="002C527D">
        <w:rPr>
          <w:spacing w:val="-6"/>
        </w:rPr>
        <w:t xml:space="preserve"> </w:t>
      </w:r>
      <w:r w:rsidRPr="002C527D">
        <w:t>motions</w:t>
      </w:r>
      <w:r w:rsidRPr="002C527D">
        <w:rPr>
          <w:spacing w:val="-3"/>
        </w:rPr>
        <w:t xml:space="preserve"> </w:t>
      </w:r>
      <w:r w:rsidRPr="002C527D">
        <w:t>to</w:t>
      </w:r>
      <w:r w:rsidRPr="002C527D">
        <w:rPr>
          <w:spacing w:val="-4"/>
        </w:rPr>
        <w:t xml:space="preserve"> </w:t>
      </w:r>
      <w:r w:rsidRPr="002C527D">
        <w:t>dismiss,</w:t>
      </w:r>
      <w:r w:rsidRPr="002C527D">
        <w:rPr>
          <w:spacing w:val="-4"/>
        </w:rPr>
        <w:t xml:space="preserve"> </w:t>
      </w:r>
      <w:r w:rsidRPr="002C527D">
        <w:t>to</w:t>
      </w:r>
      <w:r w:rsidRPr="002C527D">
        <w:rPr>
          <w:spacing w:val="-4"/>
        </w:rPr>
        <w:t xml:space="preserve"> </w:t>
      </w:r>
      <w:r w:rsidRPr="002C527D">
        <w:t>remand</w:t>
      </w:r>
      <w:r w:rsidRPr="002C527D">
        <w:rPr>
          <w:spacing w:val="-4"/>
        </w:rPr>
        <w:t xml:space="preserve"> </w:t>
      </w:r>
      <w:r w:rsidRPr="002C527D">
        <w:t>or to change venue. Parties asserting the defense of qualified immunity may submit a motion</w:t>
      </w:r>
      <w:r w:rsidRPr="002C527D">
        <w:rPr>
          <w:spacing w:val="-13"/>
        </w:rPr>
        <w:t xml:space="preserve"> </w:t>
      </w:r>
      <w:r w:rsidRPr="002C527D">
        <w:t>to</w:t>
      </w:r>
      <w:r w:rsidRPr="002C527D">
        <w:rPr>
          <w:spacing w:val="-13"/>
        </w:rPr>
        <w:t xml:space="preserve"> </w:t>
      </w:r>
      <w:r w:rsidRPr="002C527D">
        <w:t>limit</w:t>
      </w:r>
      <w:r w:rsidRPr="002C527D">
        <w:rPr>
          <w:spacing w:val="-13"/>
        </w:rPr>
        <w:t xml:space="preserve"> </w:t>
      </w:r>
      <w:r w:rsidRPr="002C527D">
        <w:t>disclosure</w:t>
      </w:r>
      <w:r w:rsidRPr="002C527D">
        <w:rPr>
          <w:spacing w:val="-17"/>
        </w:rPr>
        <w:t xml:space="preserve"> </w:t>
      </w:r>
      <w:r w:rsidRPr="002C527D">
        <w:t>to</w:t>
      </w:r>
      <w:r w:rsidRPr="002C527D">
        <w:rPr>
          <w:spacing w:val="-13"/>
        </w:rPr>
        <w:t xml:space="preserve"> </w:t>
      </w:r>
      <w:r w:rsidRPr="002C527D">
        <w:t>those</w:t>
      </w:r>
      <w:r w:rsidRPr="002C527D">
        <w:rPr>
          <w:spacing w:val="-13"/>
        </w:rPr>
        <w:t xml:space="preserve"> </w:t>
      </w:r>
      <w:r w:rsidRPr="002C527D">
        <w:t>materials</w:t>
      </w:r>
      <w:r w:rsidRPr="002C527D">
        <w:rPr>
          <w:spacing w:val="-13"/>
        </w:rPr>
        <w:t xml:space="preserve"> </w:t>
      </w:r>
      <w:r w:rsidRPr="002C527D">
        <w:t>necessary</w:t>
      </w:r>
      <w:r w:rsidRPr="002C527D">
        <w:rPr>
          <w:spacing w:val="-18"/>
        </w:rPr>
        <w:t xml:space="preserve"> </w:t>
      </w:r>
      <w:r w:rsidRPr="002C527D">
        <w:t>to</w:t>
      </w:r>
      <w:r w:rsidRPr="002C527D">
        <w:rPr>
          <w:spacing w:val="-14"/>
        </w:rPr>
        <w:t xml:space="preserve"> </w:t>
      </w:r>
      <w:r w:rsidRPr="002C527D">
        <w:t>decide</w:t>
      </w:r>
      <w:r w:rsidRPr="002C527D">
        <w:rPr>
          <w:spacing w:val="-14"/>
        </w:rPr>
        <w:t xml:space="preserve"> </w:t>
      </w:r>
      <w:r w:rsidRPr="002C527D">
        <w:t>the</w:t>
      </w:r>
      <w:r w:rsidRPr="002C527D">
        <w:rPr>
          <w:spacing w:val="-14"/>
        </w:rPr>
        <w:t xml:space="preserve"> </w:t>
      </w:r>
      <w:r w:rsidRPr="002C527D">
        <w:t>issue</w:t>
      </w:r>
      <w:r w:rsidRPr="002C527D">
        <w:rPr>
          <w:spacing w:val="-13"/>
        </w:rPr>
        <w:t xml:space="preserve"> </w:t>
      </w:r>
      <w:r w:rsidRPr="002C527D">
        <w:t>of</w:t>
      </w:r>
      <w:r w:rsidRPr="002C527D">
        <w:rPr>
          <w:spacing w:val="-12"/>
        </w:rPr>
        <w:t xml:space="preserve"> </w:t>
      </w:r>
      <w:r w:rsidRPr="002C527D">
        <w:t>qualified immunity.</w:t>
      </w:r>
    </w:p>
    <w:p w14:paraId="6FAE1AC6" w14:textId="77777777" w:rsidR="00BF4547" w:rsidRPr="002C527D" w:rsidRDefault="00BF4547" w:rsidP="002B7A82">
      <w:pPr>
        <w:pStyle w:val="ListParagraph"/>
      </w:pPr>
      <w:r w:rsidRPr="002C527D">
        <w:rPr>
          <w:b/>
        </w:rPr>
        <w:t>Duty to Supplement</w:t>
      </w:r>
      <w:r w:rsidRPr="002C527D">
        <w:t xml:space="preserve">. Pursuant to FED. R. CIV. P. 26(e), after disclosure is made pursuant to this Order, each party is under a duty to supplement or correct its </w:t>
      </w:r>
      <w:r w:rsidRPr="002C527D">
        <w:lastRenderedPageBreak/>
        <w:t>disclosures</w:t>
      </w:r>
      <w:r w:rsidRPr="002C527D">
        <w:rPr>
          <w:spacing w:val="-3"/>
        </w:rPr>
        <w:t xml:space="preserve"> </w:t>
      </w:r>
      <w:r w:rsidRPr="002C527D">
        <w:t>in</w:t>
      </w:r>
      <w:r w:rsidRPr="002C527D">
        <w:rPr>
          <w:spacing w:val="-3"/>
        </w:rPr>
        <w:t xml:space="preserve"> </w:t>
      </w:r>
      <w:r w:rsidRPr="002C527D">
        <w:t>a</w:t>
      </w:r>
      <w:r w:rsidRPr="002C527D">
        <w:rPr>
          <w:spacing w:val="-4"/>
        </w:rPr>
        <w:t xml:space="preserve"> </w:t>
      </w:r>
      <w:r w:rsidRPr="002C527D">
        <w:t>timely</w:t>
      </w:r>
      <w:r w:rsidRPr="002C527D">
        <w:rPr>
          <w:spacing w:val="-8"/>
        </w:rPr>
        <w:t xml:space="preserve"> </w:t>
      </w:r>
      <w:r w:rsidRPr="002C527D">
        <w:t>manner</w:t>
      </w:r>
      <w:r w:rsidRPr="002C527D">
        <w:rPr>
          <w:spacing w:val="-4"/>
        </w:rPr>
        <w:t xml:space="preserve"> </w:t>
      </w:r>
      <w:r w:rsidRPr="002C527D">
        <w:t>if</w:t>
      </w:r>
      <w:r w:rsidRPr="002C527D">
        <w:rPr>
          <w:spacing w:val="-4"/>
        </w:rPr>
        <w:t xml:space="preserve"> </w:t>
      </w:r>
      <w:r w:rsidRPr="002C527D">
        <w:t>the</w:t>
      </w:r>
      <w:r w:rsidRPr="002C527D">
        <w:rPr>
          <w:spacing w:val="-2"/>
        </w:rPr>
        <w:t xml:space="preserve"> </w:t>
      </w:r>
      <w:r w:rsidRPr="002C527D">
        <w:t>party</w:t>
      </w:r>
      <w:r w:rsidRPr="002C527D">
        <w:rPr>
          <w:spacing w:val="-8"/>
        </w:rPr>
        <w:t xml:space="preserve"> </w:t>
      </w:r>
      <w:r w:rsidRPr="002C527D">
        <w:t>obtains</w:t>
      </w:r>
      <w:r w:rsidRPr="002C527D">
        <w:rPr>
          <w:spacing w:val="-1"/>
        </w:rPr>
        <w:t xml:space="preserve"> </w:t>
      </w:r>
      <w:r w:rsidRPr="002C527D">
        <w:t>information</w:t>
      </w:r>
      <w:r w:rsidRPr="002C527D">
        <w:rPr>
          <w:spacing w:val="-3"/>
        </w:rPr>
        <w:t xml:space="preserve"> </w:t>
      </w:r>
      <w:proofErr w:type="gramStart"/>
      <w:r w:rsidRPr="002C527D">
        <w:t>on</w:t>
      </w:r>
      <w:r w:rsidRPr="002C527D">
        <w:rPr>
          <w:spacing w:val="-4"/>
        </w:rPr>
        <w:t xml:space="preserve"> </w:t>
      </w:r>
      <w:r w:rsidRPr="002C527D">
        <w:t>the</w:t>
      </w:r>
      <w:r w:rsidRPr="002C527D">
        <w:rPr>
          <w:spacing w:val="-5"/>
        </w:rPr>
        <w:t xml:space="preserve"> </w:t>
      </w:r>
      <w:r w:rsidRPr="002C527D">
        <w:t>basis of</w:t>
      </w:r>
      <w:proofErr w:type="gramEnd"/>
      <w:r w:rsidRPr="002C527D">
        <w:rPr>
          <w:spacing w:val="-4"/>
        </w:rPr>
        <w:t xml:space="preserve"> </w:t>
      </w:r>
      <w:r w:rsidRPr="002C527D">
        <w:t>which it knows that the information disclosed was either incomplete or incorrect when made or is no longer complete or</w:t>
      </w:r>
      <w:r w:rsidRPr="002C527D">
        <w:rPr>
          <w:spacing w:val="-6"/>
        </w:rPr>
        <w:t xml:space="preserve"> </w:t>
      </w:r>
      <w:r w:rsidRPr="002C527D">
        <w:t>true.</w:t>
      </w:r>
    </w:p>
    <w:p w14:paraId="054607CF" w14:textId="77777777" w:rsidR="00BF4547" w:rsidRPr="002C527D" w:rsidRDefault="00BF4547" w:rsidP="002B7A82">
      <w:pPr>
        <w:pStyle w:val="ListParagraph"/>
      </w:pPr>
      <w:r w:rsidRPr="002C527D">
        <w:rPr>
          <w:b/>
        </w:rPr>
        <w:t xml:space="preserve">Courtesy Paper Copies. </w:t>
      </w:r>
      <w:r w:rsidRPr="002C527D">
        <w:t>The parties must comply with the presiding judge’s procedures for courtesy</w:t>
      </w:r>
      <w:r w:rsidRPr="002C527D">
        <w:rPr>
          <w:spacing w:val="-3"/>
        </w:rPr>
        <w:t xml:space="preserve"> </w:t>
      </w:r>
      <w:r w:rsidRPr="002C527D">
        <w:t>copies.</w:t>
      </w:r>
    </w:p>
    <w:p w14:paraId="6AA636A3" w14:textId="77777777" w:rsidR="00BF4547" w:rsidRPr="002C527D" w:rsidRDefault="00BF4547" w:rsidP="002B7A82">
      <w:pPr>
        <w:pStyle w:val="ListParagraph"/>
      </w:pPr>
      <w:r w:rsidRPr="002C527D">
        <w:rPr>
          <w:b/>
        </w:rPr>
        <w:t xml:space="preserve">Sealed Documents. </w:t>
      </w:r>
      <w:r w:rsidRPr="002C527D">
        <w:t xml:space="preserve">If a party files a motion, response, reply, or other brief under seal pursuant to the Protective Order, such party shall publicly file a redacted copy within seven (7) days of the sealed filing. Absent Court </w:t>
      </w:r>
      <w:proofErr w:type="gramStart"/>
      <w:r w:rsidRPr="002C527D">
        <w:t>order</w:t>
      </w:r>
      <w:proofErr w:type="gramEnd"/>
      <w:r w:rsidRPr="002C527D">
        <w:t xml:space="preserve"> otherwise, redacted copies of exhibits to such motions, responses, replies, or other briefs do not need to be</w:t>
      </w:r>
      <w:r w:rsidRPr="002C527D">
        <w:rPr>
          <w:spacing w:val="-2"/>
        </w:rPr>
        <w:t xml:space="preserve"> </w:t>
      </w:r>
      <w:r w:rsidRPr="002C527D">
        <w:t>filed.</w:t>
      </w:r>
    </w:p>
    <w:p w14:paraId="058AEC07" w14:textId="77777777" w:rsidR="00BF4547" w:rsidRPr="002C527D" w:rsidRDefault="00BF4547" w:rsidP="00731638">
      <w:pPr>
        <w:pStyle w:val="NoSpacing"/>
        <w:rPr>
          <w:rFonts w:cs="Times New Roman"/>
          <w:szCs w:val="24"/>
        </w:rPr>
      </w:pPr>
      <w:bookmarkStart w:id="2" w:name="_Hlk102456571"/>
    </w:p>
    <w:p w14:paraId="7A5EE1EE" w14:textId="1D5B6A26" w:rsidR="00C60D75" w:rsidRPr="002C527D" w:rsidRDefault="00D960B6" w:rsidP="00D960B6">
      <w:pPr>
        <w:ind w:left="720"/>
        <w:rPr>
          <w:rFonts w:cs="Times New Roman"/>
          <w:szCs w:val="24"/>
        </w:rPr>
      </w:pPr>
      <w:r w:rsidRPr="002C527D">
        <w:rPr>
          <w:rFonts w:cs="Times New Roman"/>
          <w:szCs w:val="24"/>
        </w:rPr>
        <w:t xml:space="preserve">SIGNED at </w:t>
      </w:r>
      <w:r w:rsidR="00D424F7">
        <w:rPr>
          <w:rFonts w:cs="Times New Roman"/>
          <w:szCs w:val="24"/>
        </w:rPr>
        <w:t>__________</w:t>
      </w:r>
      <w:r w:rsidR="006F3804">
        <w:rPr>
          <w:rFonts w:cs="Times New Roman"/>
          <w:szCs w:val="24"/>
        </w:rPr>
        <w:t>____</w:t>
      </w:r>
      <w:r w:rsidR="00D424F7">
        <w:rPr>
          <w:rFonts w:cs="Times New Roman"/>
          <w:szCs w:val="24"/>
        </w:rPr>
        <w:t>_</w:t>
      </w:r>
      <w:r w:rsidRPr="002C527D">
        <w:rPr>
          <w:rFonts w:cs="Times New Roman"/>
          <w:szCs w:val="24"/>
        </w:rPr>
        <w:t>, Texas, this ____ day of ___________________, 20____.</w:t>
      </w:r>
    </w:p>
    <w:p w14:paraId="1D6A7915" w14:textId="10F79FE8" w:rsidR="00D960B6" w:rsidRPr="002C527D" w:rsidRDefault="00D960B6" w:rsidP="00D960B6">
      <w:pPr>
        <w:ind w:left="720"/>
        <w:rPr>
          <w:rFonts w:cs="Times New Roman"/>
          <w:szCs w:val="24"/>
        </w:rPr>
      </w:pPr>
    </w:p>
    <w:p w14:paraId="06BE4926" w14:textId="77777777" w:rsidR="00D960B6" w:rsidRPr="002C527D" w:rsidRDefault="00D960B6" w:rsidP="00D960B6">
      <w:pPr>
        <w:ind w:left="720"/>
        <w:rPr>
          <w:rFonts w:cs="Times New Roman"/>
          <w:szCs w:val="24"/>
        </w:rPr>
      </w:pPr>
    </w:p>
    <w:p w14:paraId="49212380" w14:textId="175BC483" w:rsidR="00D960B6" w:rsidRPr="002C527D" w:rsidRDefault="00D960B6" w:rsidP="00D960B6">
      <w:pPr>
        <w:ind w:left="720"/>
        <w:rPr>
          <w:rFonts w:cs="Times New Roman"/>
          <w:szCs w:val="24"/>
        </w:rPr>
      </w:pPr>
    </w:p>
    <w:p w14:paraId="368E955B" w14:textId="6B601AF2" w:rsidR="00D960B6" w:rsidRPr="002C527D" w:rsidRDefault="00D960B6" w:rsidP="00D960B6">
      <w:pPr>
        <w:tabs>
          <w:tab w:val="right" w:pos="9270"/>
        </w:tabs>
        <w:spacing w:line="276" w:lineRule="auto"/>
        <w:ind w:left="4680"/>
        <w:rPr>
          <w:rFonts w:cs="Times New Roman"/>
          <w:szCs w:val="24"/>
          <w:u w:val="single"/>
        </w:rPr>
      </w:pPr>
      <w:r w:rsidRPr="002C527D">
        <w:rPr>
          <w:rFonts w:cs="Times New Roman"/>
          <w:szCs w:val="24"/>
          <w:u w:val="single"/>
        </w:rPr>
        <w:tab/>
      </w:r>
    </w:p>
    <w:p w14:paraId="60F6B152" w14:textId="6A3E6A53" w:rsidR="00D960B6" w:rsidRPr="002C527D" w:rsidRDefault="00D960B6" w:rsidP="00D960B6">
      <w:pPr>
        <w:tabs>
          <w:tab w:val="right" w:pos="9270"/>
        </w:tabs>
        <w:spacing w:line="276" w:lineRule="auto"/>
        <w:ind w:left="4680"/>
        <w:jc w:val="center"/>
        <w:rPr>
          <w:rFonts w:cs="Times New Roman"/>
          <w:szCs w:val="24"/>
        </w:rPr>
      </w:pPr>
      <w:r w:rsidRPr="002C527D">
        <w:rPr>
          <w:rFonts w:cs="Times New Roman"/>
          <w:szCs w:val="24"/>
        </w:rPr>
        <w:t>[JUDGE’S NAME]</w:t>
      </w:r>
    </w:p>
    <w:p w14:paraId="7781D4E8" w14:textId="2CF7FA6A" w:rsidR="00D960B6" w:rsidRPr="002C527D" w:rsidRDefault="00D960B6" w:rsidP="00D960B6">
      <w:pPr>
        <w:tabs>
          <w:tab w:val="right" w:pos="9270"/>
        </w:tabs>
        <w:spacing w:line="276" w:lineRule="auto"/>
        <w:ind w:left="4680"/>
        <w:jc w:val="center"/>
        <w:rPr>
          <w:rFonts w:cs="Times New Roman"/>
          <w:szCs w:val="24"/>
        </w:rPr>
      </w:pPr>
      <w:r w:rsidRPr="002C527D">
        <w:rPr>
          <w:rFonts w:cs="Times New Roman"/>
          <w:szCs w:val="24"/>
        </w:rPr>
        <w:t>UNITED STATES DISTRICT JUDGE</w:t>
      </w:r>
      <w:bookmarkEnd w:id="2"/>
    </w:p>
    <w:sectPr w:rsidR="00D960B6" w:rsidRPr="002C527D" w:rsidSect="00C84158">
      <w:footerReference w:type="default" r:id="rId8"/>
      <w:endnotePr>
        <w:numFmt w:val="decimal"/>
      </w:endnotePr>
      <w:pgSz w:w="12240" w:h="15840" w:code="1"/>
      <w:pgMar w:top="1440" w:right="1440" w:bottom="1440" w:left="1440" w:header="144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0399" w14:textId="77777777" w:rsidR="00C22CF0" w:rsidRDefault="00C22CF0">
      <w:pPr>
        <w:spacing w:line="240" w:lineRule="auto"/>
      </w:pPr>
      <w:r>
        <w:separator/>
      </w:r>
    </w:p>
  </w:endnote>
  <w:endnote w:type="continuationSeparator" w:id="0">
    <w:p w14:paraId="071A668A" w14:textId="77777777" w:rsidR="00C22CF0" w:rsidRDefault="00C22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6818" w14:textId="6BF42804" w:rsidR="009B590C" w:rsidRDefault="00FD124C" w:rsidP="00C84158">
    <w:pPr>
      <w:spacing w:before="120" w:line="240" w:lineRule="auto"/>
      <w:jc w:val="center"/>
    </w:pPr>
    <w:r>
      <w:fldChar w:fldCharType="begin"/>
    </w:r>
    <w:r>
      <w:instrText>PAGE</w:instrText>
    </w:r>
    <w:r>
      <w:fldChar w:fldCharType="separate"/>
    </w:r>
    <w:r>
      <w:rPr>
        <w:noProof/>
      </w:rPr>
      <w:t>1</w:t>
    </w:r>
    <w:r>
      <w:fldChar w:fldCharType="end"/>
    </w:r>
  </w:p>
  <w:p w14:paraId="10B01046" w14:textId="67C652D7" w:rsidR="00C84158" w:rsidRDefault="00C84158" w:rsidP="00C84158">
    <w:pPr>
      <w:spacing w:line="240" w:lineRule="auto"/>
    </w:pPr>
    <w:r>
      <w:t>Patent Order for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E8D7" w14:textId="77777777" w:rsidR="00C22CF0" w:rsidRDefault="00C22CF0">
      <w:pPr>
        <w:spacing w:line="240" w:lineRule="auto"/>
      </w:pPr>
      <w:r>
        <w:separator/>
      </w:r>
    </w:p>
  </w:footnote>
  <w:footnote w:type="continuationSeparator" w:id="0">
    <w:p w14:paraId="1EAB70CC" w14:textId="77777777" w:rsidR="00C22CF0" w:rsidRDefault="00C22C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1F29"/>
    <w:multiLevelType w:val="hybridMultilevel"/>
    <w:tmpl w:val="A3D0E692"/>
    <w:lvl w:ilvl="0" w:tplc="887A3004">
      <w:start w:val="16"/>
      <w:numFmt w:val="upperLetter"/>
      <w:lvlText w:val="%1"/>
      <w:lvlJc w:val="left"/>
      <w:pPr>
        <w:ind w:left="119" w:hanging="516"/>
      </w:pPr>
      <w:rPr>
        <w:rFonts w:hint="default"/>
      </w:rPr>
    </w:lvl>
    <w:lvl w:ilvl="1" w:tplc="2F3EEA60">
      <w:start w:val="1"/>
      <w:numFmt w:val="decimal"/>
      <w:pStyle w:val="ListParagraph"/>
      <w:lvlText w:val="%2."/>
      <w:lvlJc w:val="left"/>
      <w:pPr>
        <w:ind w:left="1660" w:hanging="718"/>
      </w:pPr>
      <w:rPr>
        <w:rFonts w:ascii="Times New Roman" w:eastAsia="Times New Roman" w:hAnsi="Times New Roman" w:cs="Times New Roman" w:hint="default"/>
        <w:b/>
        <w:bCs/>
        <w:w w:val="98"/>
        <w:sz w:val="24"/>
        <w:szCs w:val="24"/>
      </w:rPr>
    </w:lvl>
    <w:lvl w:ilvl="2" w:tplc="074433CA">
      <w:start w:val="1"/>
      <w:numFmt w:val="lowerLetter"/>
      <w:lvlText w:val="(%3)"/>
      <w:lvlJc w:val="left"/>
      <w:pPr>
        <w:ind w:left="2279" w:hanging="720"/>
      </w:pPr>
      <w:rPr>
        <w:rFonts w:ascii="Times New Roman" w:eastAsia="Times New Roman" w:hAnsi="Times New Roman" w:cs="Times New Roman" w:hint="default"/>
        <w:b/>
        <w:bCs/>
        <w:spacing w:val="-2"/>
        <w:w w:val="99"/>
        <w:sz w:val="24"/>
        <w:szCs w:val="24"/>
      </w:rPr>
    </w:lvl>
    <w:lvl w:ilvl="3" w:tplc="592A1BE6">
      <w:numFmt w:val="bullet"/>
      <w:lvlText w:val="•"/>
      <w:lvlJc w:val="left"/>
      <w:pPr>
        <w:ind w:left="3225" w:hanging="720"/>
      </w:pPr>
      <w:rPr>
        <w:rFonts w:hint="default"/>
      </w:rPr>
    </w:lvl>
    <w:lvl w:ilvl="4" w:tplc="B69CFF8C">
      <w:numFmt w:val="bullet"/>
      <w:lvlText w:val="•"/>
      <w:lvlJc w:val="left"/>
      <w:pPr>
        <w:ind w:left="4170" w:hanging="720"/>
      </w:pPr>
      <w:rPr>
        <w:rFonts w:hint="default"/>
      </w:rPr>
    </w:lvl>
    <w:lvl w:ilvl="5" w:tplc="639AAAF0">
      <w:numFmt w:val="bullet"/>
      <w:lvlText w:val="•"/>
      <w:lvlJc w:val="left"/>
      <w:pPr>
        <w:ind w:left="5115" w:hanging="720"/>
      </w:pPr>
      <w:rPr>
        <w:rFonts w:hint="default"/>
      </w:rPr>
    </w:lvl>
    <w:lvl w:ilvl="6" w:tplc="4BD8F180">
      <w:numFmt w:val="bullet"/>
      <w:lvlText w:val="•"/>
      <w:lvlJc w:val="left"/>
      <w:pPr>
        <w:ind w:left="6060" w:hanging="720"/>
      </w:pPr>
      <w:rPr>
        <w:rFonts w:hint="default"/>
      </w:rPr>
    </w:lvl>
    <w:lvl w:ilvl="7" w:tplc="73DC4CD4">
      <w:numFmt w:val="bullet"/>
      <w:lvlText w:val="•"/>
      <w:lvlJc w:val="left"/>
      <w:pPr>
        <w:ind w:left="7005" w:hanging="720"/>
      </w:pPr>
      <w:rPr>
        <w:rFonts w:hint="default"/>
      </w:rPr>
    </w:lvl>
    <w:lvl w:ilvl="8" w:tplc="BCEAD092">
      <w:numFmt w:val="bullet"/>
      <w:lvlText w:val="•"/>
      <w:lvlJc w:val="left"/>
      <w:pPr>
        <w:ind w:left="795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31"/>
    <w:rsid w:val="00054C0C"/>
    <w:rsid w:val="0019170F"/>
    <w:rsid w:val="001B5DA7"/>
    <w:rsid w:val="00204DBE"/>
    <w:rsid w:val="002C527D"/>
    <w:rsid w:val="003377E5"/>
    <w:rsid w:val="003D6B07"/>
    <w:rsid w:val="00503855"/>
    <w:rsid w:val="00584D75"/>
    <w:rsid w:val="005972A9"/>
    <w:rsid w:val="006A0AD0"/>
    <w:rsid w:val="006F3804"/>
    <w:rsid w:val="0073447E"/>
    <w:rsid w:val="007539CB"/>
    <w:rsid w:val="00783B2D"/>
    <w:rsid w:val="009334BF"/>
    <w:rsid w:val="00A733D0"/>
    <w:rsid w:val="00AC1FAF"/>
    <w:rsid w:val="00AF6223"/>
    <w:rsid w:val="00B17E40"/>
    <w:rsid w:val="00B445F4"/>
    <w:rsid w:val="00BC6E69"/>
    <w:rsid w:val="00BC713C"/>
    <w:rsid w:val="00BF4547"/>
    <w:rsid w:val="00C22CF0"/>
    <w:rsid w:val="00C60D75"/>
    <w:rsid w:val="00C84158"/>
    <w:rsid w:val="00CB2D33"/>
    <w:rsid w:val="00D421F5"/>
    <w:rsid w:val="00D424F7"/>
    <w:rsid w:val="00D960B6"/>
    <w:rsid w:val="00DC4DFD"/>
    <w:rsid w:val="00E3178D"/>
    <w:rsid w:val="00E31CA3"/>
    <w:rsid w:val="00EB6131"/>
    <w:rsid w:val="00EC1408"/>
    <w:rsid w:val="00EE5A71"/>
    <w:rsid w:val="00F06213"/>
    <w:rsid w:val="00F54885"/>
    <w:rsid w:val="00FD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9787"/>
  <w15:chartTrackingRefBased/>
  <w15:docId w15:val="{BDB7F0F4-7B8A-4510-A2AE-DDAA5A1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55"/>
    <w:pPr>
      <w:spacing w:after="0" w:line="360" w:lineRule="auto"/>
    </w:pPr>
    <w:rPr>
      <w:rFonts w:ascii="Times New Roman" w:hAnsi="Times New Roman"/>
      <w:sz w:val="24"/>
    </w:rPr>
  </w:style>
  <w:style w:type="paragraph" w:styleId="Heading1">
    <w:name w:val="heading 1"/>
    <w:basedOn w:val="Normal"/>
    <w:link w:val="Heading1Char"/>
    <w:uiPriority w:val="9"/>
    <w:qFormat/>
    <w:rsid w:val="00BF4547"/>
    <w:pPr>
      <w:widowControl w:val="0"/>
      <w:autoSpaceDE w:val="0"/>
      <w:autoSpaceDN w:val="0"/>
      <w:spacing w:after="240" w:line="240" w:lineRule="auto"/>
      <w:ind w:left="180" w:right="-240"/>
      <w:jc w:val="center"/>
      <w:outlineLvl w:val="0"/>
    </w:pPr>
    <w:rPr>
      <w:rFonts w:eastAsia="Times New Roman" w:cs="Times New Roman"/>
      <w:b/>
      <w:bCs/>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B2D"/>
    <w:rPr>
      <w:color w:val="808080"/>
    </w:rPr>
  </w:style>
  <w:style w:type="paragraph" w:customStyle="1" w:styleId="CaptionHeader">
    <w:name w:val="Caption Header"/>
    <w:link w:val="CaptionHeaderChar"/>
    <w:qFormat/>
    <w:rsid w:val="00B17E40"/>
    <w:pPr>
      <w:spacing w:after="0" w:line="240" w:lineRule="auto"/>
      <w:jc w:val="center"/>
    </w:pPr>
    <w:rPr>
      <w:rFonts w:ascii="Times New Roman" w:hAnsi="Times New Roman"/>
      <w:sz w:val="26"/>
    </w:rPr>
  </w:style>
  <w:style w:type="paragraph" w:customStyle="1" w:styleId="CaptionStyle">
    <w:name w:val="Caption Style"/>
    <w:link w:val="CaptionStyleChar"/>
    <w:qFormat/>
    <w:rsid w:val="00B17E40"/>
    <w:pPr>
      <w:spacing w:after="0" w:line="240" w:lineRule="auto"/>
    </w:pPr>
    <w:rPr>
      <w:rFonts w:ascii="Times New Roman" w:hAnsi="Times New Roman"/>
      <w:sz w:val="26"/>
    </w:rPr>
  </w:style>
  <w:style w:type="character" w:customStyle="1" w:styleId="CaptionHeaderChar">
    <w:name w:val="Caption Header Char"/>
    <w:basedOn w:val="DefaultParagraphFont"/>
    <w:link w:val="CaptionHeader"/>
    <w:rsid w:val="00B17E40"/>
    <w:rPr>
      <w:rFonts w:ascii="Times New Roman" w:hAnsi="Times New Roman"/>
      <w:sz w:val="26"/>
    </w:rPr>
  </w:style>
  <w:style w:type="paragraph" w:customStyle="1" w:styleId="OrderTitle">
    <w:name w:val="Order Title"/>
    <w:next w:val="Normal"/>
    <w:link w:val="OrderTitleChar"/>
    <w:qFormat/>
    <w:rsid w:val="00B17E40"/>
    <w:pPr>
      <w:spacing w:after="0" w:line="480" w:lineRule="auto"/>
      <w:jc w:val="center"/>
    </w:pPr>
    <w:rPr>
      <w:rFonts w:ascii="Times New Roman" w:hAnsi="Times New Roman"/>
      <w:b/>
      <w:bCs/>
      <w:caps/>
      <w:sz w:val="26"/>
      <w:u w:val="single"/>
    </w:rPr>
  </w:style>
  <w:style w:type="character" w:customStyle="1" w:styleId="CaptionStyleChar">
    <w:name w:val="Caption Style Char"/>
    <w:basedOn w:val="DefaultParagraphFont"/>
    <w:link w:val="CaptionStyle"/>
    <w:rsid w:val="00B17E40"/>
    <w:rPr>
      <w:rFonts w:ascii="Times New Roman" w:hAnsi="Times New Roman"/>
      <w:sz w:val="26"/>
    </w:rPr>
  </w:style>
  <w:style w:type="paragraph" w:styleId="NoSpacing">
    <w:name w:val="No Spacing"/>
    <w:basedOn w:val="Normal"/>
    <w:uiPriority w:val="1"/>
    <w:qFormat/>
    <w:rsid w:val="00503855"/>
    <w:pPr>
      <w:spacing w:line="240" w:lineRule="auto"/>
    </w:pPr>
  </w:style>
  <w:style w:type="character" w:customStyle="1" w:styleId="OrderTitleChar">
    <w:name w:val="Order Title Char"/>
    <w:basedOn w:val="DefaultParagraphFont"/>
    <w:link w:val="OrderTitle"/>
    <w:rsid w:val="00B17E40"/>
    <w:rPr>
      <w:rFonts w:ascii="Times New Roman" w:hAnsi="Times New Roman"/>
      <w:b/>
      <w:bCs/>
      <w:caps/>
      <w:sz w:val="26"/>
      <w:u w:val="single"/>
    </w:rPr>
  </w:style>
  <w:style w:type="character" w:customStyle="1" w:styleId="Heading1Char">
    <w:name w:val="Heading 1 Char"/>
    <w:basedOn w:val="DefaultParagraphFont"/>
    <w:link w:val="Heading1"/>
    <w:uiPriority w:val="9"/>
    <w:rsid w:val="00BF4547"/>
    <w:rPr>
      <w:rFonts w:ascii="Times New Roman" w:eastAsia="Times New Roman" w:hAnsi="Times New Roman" w:cs="Times New Roman"/>
      <w:b/>
      <w:bCs/>
      <w:sz w:val="24"/>
      <w:szCs w:val="24"/>
      <w:u w:val="thick" w:color="000000"/>
    </w:rPr>
  </w:style>
  <w:style w:type="paragraph" w:styleId="BodyText">
    <w:name w:val="Body Text"/>
    <w:basedOn w:val="Normal"/>
    <w:link w:val="BodyTextChar"/>
    <w:uiPriority w:val="1"/>
    <w:qFormat/>
    <w:rsid w:val="00BF4547"/>
    <w:pPr>
      <w:widowControl w:val="0"/>
      <w:autoSpaceDE w:val="0"/>
      <w:autoSpaceDN w:val="0"/>
      <w:spacing w:before="90" w:line="535" w:lineRule="auto"/>
      <w:ind w:left="180" w:right="248" w:firstLine="540"/>
      <w:jc w:val="both"/>
    </w:pPr>
    <w:rPr>
      <w:rFonts w:eastAsia="Times New Roman" w:cs="Times New Roman"/>
      <w:szCs w:val="24"/>
    </w:rPr>
  </w:style>
  <w:style w:type="character" w:customStyle="1" w:styleId="BodyTextChar">
    <w:name w:val="Body Text Char"/>
    <w:basedOn w:val="DefaultParagraphFont"/>
    <w:link w:val="BodyText"/>
    <w:uiPriority w:val="1"/>
    <w:rsid w:val="00BF4547"/>
    <w:rPr>
      <w:rFonts w:ascii="Times New Roman" w:eastAsia="Times New Roman" w:hAnsi="Times New Roman" w:cs="Times New Roman"/>
      <w:sz w:val="24"/>
      <w:szCs w:val="24"/>
    </w:rPr>
  </w:style>
  <w:style w:type="paragraph" w:styleId="ListParagraph">
    <w:name w:val="List Paragraph"/>
    <w:basedOn w:val="BodyText"/>
    <w:uiPriority w:val="1"/>
    <w:qFormat/>
    <w:rsid w:val="00BF4547"/>
    <w:pPr>
      <w:numPr>
        <w:ilvl w:val="1"/>
        <w:numId w:val="1"/>
      </w:numPr>
      <w:spacing w:before="0" w:after="240" w:line="240" w:lineRule="auto"/>
      <w:ind w:left="1440" w:right="-60"/>
    </w:pPr>
  </w:style>
  <w:style w:type="paragraph" w:styleId="Title">
    <w:name w:val="Title"/>
    <w:basedOn w:val="Normal"/>
    <w:next w:val="Normal"/>
    <w:link w:val="TitleChar"/>
    <w:uiPriority w:val="10"/>
    <w:qFormat/>
    <w:rsid w:val="00BF4547"/>
    <w:pPr>
      <w:widowControl w:val="0"/>
      <w:autoSpaceDE w:val="0"/>
      <w:autoSpaceDN w:val="0"/>
      <w:spacing w:after="240" w:line="240" w:lineRule="auto"/>
      <w:ind w:left="29"/>
      <w:contextualSpacing/>
      <w:jc w:val="center"/>
    </w:pPr>
    <w:rPr>
      <w:rFonts w:eastAsia="Times New Roman" w:cs="Times New Roman"/>
      <w:b/>
      <w:szCs w:val="24"/>
      <w:u w:val="thick"/>
    </w:rPr>
  </w:style>
  <w:style w:type="character" w:customStyle="1" w:styleId="TitleChar">
    <w:name w:val="Title Char"/>
    <w:basedOn w:val="DefaultParagraphFont"/>
    <w:link w:val="Title"/>
    <w:uiPriority w:val="10"/>
    <w:rsid w:val="00BF4547"/>
    <w:rPr>
      <w:rFonts w:ascii="Times New Roman" w:eastAsia="Times New Roman" w:hAnsi="Times New Roman" w:cs="Times New Roman"/>
      <w:b/>
      <w:sz w:val="24"/>
      <w:szCs w:val="24"/>
      <w:u w:val="thick"/>
    </w:rPr>
  </w:style>
  <w:style w:type="character" w:styleId="Hyperlink">
    <w:name w:val="Hyperlink"/>
    <w:basedOn w:val="DefaultParagraphFont"/>
    <w:uiPriority w:val="99"/>
    <w:unhideWhenUsed/>
    <w:rsid w:val="00BF4547"/>
    <w:rPr>
      <w:color w:val="0563C1" w:themeColor="hyperlink"/>
      <w:u w:val="single"/>
    </w:rPr>
  </w:style>
  <w:style w:type="paragraph" w:styleId="Header">
    <w:name w:val="header"/>
    <w:basedOn w:val="Normal"/>
    <w:link w:val="HeaderChar"/>
    <w:uiPriority w:val="99"/>
    <w:unhideWhenUsed/>
    <w:rsid w:val="00C84158"/>
    <w:pPr>
      <w:tabs>
        <w:tab w:val="center" w:pos="4680"/>
        <w:tab w:val="right" w:pos="9360"/>
      </w:tabs>
      <w:spacing w:line="240" w:lineRule="auto"/>
    </w:pPr>
  </w:style>
  <w:style w:type="character" w:customStyle="1" w:styleId="HeaderChar">
    <w:name w:val="Header Char"/>
    <w:basedOn w:val="DefaultParagraphFont"/>
    <w:link w:val="Header"/>
    <w:uiPriority w:val="99"/>
    <w:rsid w:val="00C84158"/>
    <w:rPr>
      <w:rFonts w:ascii="Times New Roman" w:hAnsi="Times New Roman"/>
      <w:sz w:val="24"/>
    </w:rPr>
  </w:style>
  <w:style w:type="paragraph" w:styleId="Footer">
    <w:name w:val="footer"/>
    <w:basedOn w:val="Normal"/>
    <w:link w:val="FooterChar"/>
    <w:uiPriority w:val="99"/>
    <w:unhideWhenUsed/>
    <w:rsid w:val="00C84158"/>
    <w:pPr>
      <w:tabs>
        <w:tab w:val="center" w:pos="4680"/>
        <w:tab w:val="right" w:pos="9360"/>
      </w:tabs>
      <w:spacing w:line="240" w:lineRule="auto"/>
    </w:pPr>
  </w:style>
  <w:style w:type="character" w:customStyle="1" w:styleId="FooterChar">
    <w:name w:val="Footer Char"/>
    <w:basedOn w:val="DefaultParagraphFont"/>
    <w:link w:val="Footer"/>
    <w:uiPriority w:val="99"/>
    <w:rsid w:val="00C841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awnaKelly\AppData\Local\Temp\www.txs.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Kelly\AppData\Local\Temp\tmpA2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tmpA2ED.dotx</Template>
  <TotalTime>41</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Order for Conference</dc:title>
  <dc:subject/>
  <dc:creator>DawnaKelly</dc:creator>
  <cp:keywords/>
  <dc:description/>
  <cp:lastModifiedBy>Dawna Kelly</cp:lastModifiedBy>
  <cp:revision>17</cp:revision>
  <cp:lastPrinted>2022-05-03T14:36:00Z</cp:lastPrinted>
  <dcterms:created xsi:type="dcterms:W3CDTF">2022-05-03T12:22:00Z</dcterms:created>
  <dcterms:modified xsi:type="dcterms:W3CDTF">2022-05-03T14:36:00Z</dcterms:modified>
</cp:coreProperties>
</file>