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D7" w:rsidRPr="00600BD7" w:rsidRDefault="00600BD7" w:rsidP="0060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0BD7">
        <w:rPr>
          <w:rFonts w:ascii="Times New Roman" w:hAnsi="Times New Roman" w:cs="Times New Roman"/>
          <w:b/>
          <w:sz w:val="24"/>
          <w:szCs w:val="24"/>
        </w:rPr>
        <w:t>IN THE UNITED STATES BANKRUPTCY COURT</w:t>
      </w:r>
    </w:p>
    <w:p w:rsidR="00600BD7" w:rsidRPr="00600BD7" w:rsidRDefault="00600BD7" w:rsidP="0060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</w:rPr>
        <w:t>FOR THE SOUTHERN DISTRICT OF TEXAS</w:t>
      </w:r>
    </w:p>
    <w:p w:rsidR="00600BD7" w:rsidRPr="00600BD7" w:rsidRDefault="00600BD7" w:rsidP="0060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</w:rPr>
        <w:t>_____________ DIVISION</w:t>
      </w:r>
    </w:p>
    <w:p w:rsidR="00600BD7" w:rsidRPr="00600BD7" w:rsidRDefault="00600BD7" w:rsidP="00600B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BD7" w:rsidRDefault="00600BD7" w:rsidP="00600BD7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</w:rPr>
        <w:t>In re: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600BD7" w:rsidRDefault="00600BD7" w:rsidP="00600BD7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 xml:space="preserve">§ 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>Case No. ____________</w:t>
      </w:r>
    </w:p>
    <w:p w:rsidR="00600BD7" w:rsidRDefault="00600BD7" w:rsidP="00600BD7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BD7">
        <w:rPr>
          <w:rFonts w:ascii="Times New Roman" w:hAnsi="Times New Roman" w:cs="Times New Roman"/>
          <w:b/>
          <w:sz w:val="24"/>
          <w:szCs w:val="24"/>
        </w:rPr>
        <w:t>[Debtor(s)’ Names],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>§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>(Chapter 13)</w:t>
      </w:r>
    </w:p>
    <w:p w:rsidR="00600BD7" w:rsidRDefault="00600BD7" w:rsidP="00600BD7">
      <w:pPr>
        <w:tabs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BD7"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600BD7" w:rsidRPr="00600BD7" w:rsidRDefault="00600BD7" w:rsidP="00600BD7">
      <w:pPr>
        <w:tabs>
          <w:tab w:val="center" w:pos="468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00BD7">
        <w:rPr>
          <w:rFonts w:ascii="Times New Roman" w:hAnsi="Times New Roman" w:cs="Times New Roman"/>
          <w:b/>
          <w:sz w:val="24"/>
          <w:szCs w:val="24"/>
        </w:rPr>
        <w:t>Debtor(s).</w:t>
      </w:r>
      <w:proofErr w:type="gramEnd"/>
      <w:r w:rsidRPr="00600BD7">
        <w:rPr>
          <w:rFonts w:ascii="Times New Roman" w:hAnsi="Times New Roman" w:cs="Times New Roman"/>
          <w:b/>
          <w:sz w:val="24"/>
          <w:szCs w:val="24"/>
        </w:rPr>
        <w:tab/>
        <w:t>§</w:t>
      </w:r>
    </w:p>
    <w:p w:rsidR="00600BD7" w:rsidRPr="00600BD7" w:rsidRDefault="00600BD7" w:rsidP="00CF5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D7" w:rsidRDefault="00CF5E81" w:rsidP="0060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</w:rPr>
        <w:t>D</w:t>
      </w:r>
      <w:r w:rsidR="00600BD7">
        <w:rPr>
          <w:rFonts w:ascii="Times New Roman" w:hAnsi="Times New Roman" w:cs="Times New Roman"/>
          <w:b/>
          <w:sz w:val="24"/>
          <w:szCs w:val="24"/>
        </w:rPr>
        <w:t>ebtor(s)’</w:t>
      </w:r>
      <w:r w:rsidRPr="00600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D7">
        <w:rPr>
          <w:rFonts w:ascii="Times New Roman" w:hAnsi="Times New Roman" w:cs="Times New Roman"/>
          <w:b/>
          <w:sz w:val="24"/>
          <w:szCs w:val="24"/>
        </w:rPr>
        <w:t xml:space="preserve">Interim </w:t>
      </w:r>
      <w:r w:rsidR="00600BD7" w:rsidRPr="00600BD7">
        <w:rPr>
          <w:rFonts w:ascii="Times New Roman" w:hAnsi="Times New Roman" w:cs="Times New Roman"/>
          <w:b/>
          <w:sz w:val="24"/>
          <w:szCs w:val="24"/>
        </w:rPr>
        <w:t>Uniform Modification of Confirmed Plan</w:t>
      </w:r>
      <w:r w:rsidR="00600BD7">
        <w:rPr>
          <w:rFonts w:ascii="Times New Roman" w:hAnsi="Times New Roman" w:cs="Times New Roman"/>
          <w:b/>
          <w:sz w:val="24"/>
          <w:szCs w:val="24"/>
        </w:rPr>
        <w:t xml:space="preserve"> and</w:t>
      </w:r>
    </w:p>
    <w:p w:rsidR="00CF5E81" w:rsidRPr="00600BD7" w:rsidRDefault="00600BD7" w:rsidP="00600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for Valuation of Collateral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Pursuant t</w:t>
      </w:r>
      <w:r w:rsidRPr="00600BD7">
        <w:rPr>
          <w:rFonts w:ascii="Times New Roman" w:hAnsi="Times New Roman" w:cs="Times New Roman"/>
          <w:b/>
          <w:sz w:val="24"/>
          <w:szCs w:val="24"/>
          <w:u w:val="single"/>
        </w:rPr>
        <w:t xml:space="preserve">o General Order </w:t>
      </w:r>
      <w:r w:rsidR="00CF5E81" w:rsidRPr="00600BD7">
        <w:rPr>
          <w:rFonts w:ascii="Times New Roman" w:hAnsi="Times New Roman" w:cs="Times New Roman"/>
          <w:b/>
          <w:sz w:val="24"/>
          <w:szCs w:val="24"/>
          <w:u w:val="single"/>
        </w:rPr>
        <w:t>2017-09</w:t>
      </w:r>
    </w:p>
    <w:p w:rsidR="00600BD7" w:rsidRDefault="00CF5E81" w:rsidP="006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81" w:rsidRDefault="00CF5E81" w:rsidP="006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Debtor</w:t>
      </w:r>
      <w:r w:rsidR="00600B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600B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file this </w:t>
      </w:r>
      <w:r w:rsidR="00A444D7">
        <w:rPr>
          <w:rFonts w:ascii="Times New Roman" w:hAnsi="Times New Roman" w:cs="Times New Roman"/>
          <w:sz w:val="24"/>
          <w:szCs w:val="24"/>
        </w:rPr>
        <w:t xml:space="preserve">proposed </w:t>
      </w:r>
      <w:r w:rsidR="00600BD7">
        <w:rPr>
          <w:rFonts w:ascii="Times New Roman" w:hAnsi="Times New Roman" w:cs="Times New Roman"/>
          <w:sz w:val="24"/>
          <w:szCs w:val="24"/>
        </w:rPr>
        <w:t>Interim Modification of their</w:t>
      </w:r>
      <w:r>
        <w:rPr>
          <w:rFonts w:ascii="Times New Roman" w:hAnsi="Times New Roman" w:cs="Times New Roman"/>
          <w:sz w:val="24"/>
          <w:szCs w:val="24"/>
        </w:rPr>
        <w:t xml:space="preserve"> confirmed plan.</w:t>
      </w:r>
    </w:p>
    <w:p w:rsidR="00600BD7" w:rsidRDefault="00600BD7" w:rsidP="00600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E81" w:rsidRDefault="00CF5E81" w:rsidP="00B07597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5E81">
        <w:rPr>
          <w:rFonts w:ascii="Times New Roman" w:hAnsi="Times New Roman" w:cs="Times New Roman"/>
          <w:b/>
          <w:sz w:val="24"/>
          <w:szCs w:val="24"/>
        </w:rPr>
        <w:t>History of Case.</w:t>
      </w:r>
      <w:r>
        <w:rPr>
          <w:rFonts w:ascii="Times New Roman" w:hAnsi="Times New Roman" w:cs="Times New Roman"/>
          <w:sz w:val="24"/>
          <w:szCs w:val="24"/>
        </w:rPr>
        <w:t xml:space="preserve">  This case was filed on ________________.  The plan was confirmed by order entered on ________________.  The plan was previously modified by order(s) entered on ______________________________.</w:t>
      </w:r>
    </w:p>
    <w:p w:rsidR="00CF5E81" w:rsidRPr="00220790" w:rsidRDefault="00CF5E81" w:rsidP="00CF5E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F5E81" w:rsidRPr="00600BD7" w:rsidRDefault="00CF5E81" w:rsidP="0068144C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0790">
        <w:rPr>
          <w:rFonts w:ascii="Times New Roman" w:hAnsi="Times New Roman" w:cs="Times New Roman"/>
          <w:b/>
          <w:sz w:val="24"/>
          <w:szCs w:val="24"/>
        </w:rPr>
        <w:t>Description of Events Causing Need to Modify Plan.</w:t>
      </w:r>
      <w:r w:rsidRPr="00600BD7">
        <w:rPr>
          <w:rFonts w:ascii="Times New Roman" w:hAnsi="Times New Roman" w:cs="Times New Roman"/>
          <w:sz w:val="24"/>
          <w:szCs w:val="24"/>
        </w:rPr>
        <w:t xml:space="preserve">  </w:t>
      </w:r>
      <w:r w:rsidR="0068144C" w:rsidRPr="00220790">
        <w:rPr>
          <w:rFonts w:ascii="Times New Roman" w:hAnsi="Times New Roman" w:cs="Times New Roman"/>
          <w:sz w:val="24"/>
          <w:szCs w:val="24"/>
        </w:rPr>
        <w:t xml:space="preserve">The </w:t>
      </w:r>
      <w:r w:rsidR="00600BD7">
        <w:rPr>
          <w:rFonts w:ascii="Times New Roman" w:hAnsi="Times New Roman" w:cs="Times New Roman"/>
          <w:sz w:val="24"/>
          <w:szCs w:val="24"/>
        </w:rPr>
        <w:t xml:space="preserve">Debtor(s) believe that a modification of the confirmed plan is required </w:t>
      </w:r>
      <w:r w:rsidR="0068144C" w:rsidRPr="00220790">
        <w:rPr>
          <w:rFonts w:ascii="Times New Roman" w:hAnsi="Times New Roman" w:cs="Times New Roman"/>
          <w:sz w:val="24"/>
          <w:szCs w:val="24"/>
        </w:rPr>
        <w:t>to (check one or more</w:t>
      </w:r>
      <w:r w:rsidR="00600BD7">
        <w:rPr>
          <w:rFonts w:ascii="Times New Roman" w:hAnsi="Times New Roman" w:cs="Times New Roman"/>
          <w:sz w:val="24"/>
          <w:szCs w:val="24"/>
        </w:rPr>
        <w:t xml:space="preserve"> and complete the blanks</w:t>
      </w:r>
      <w:r w:rsidR="0068144C" w:rsidRPr="00220790">
        <w:rPr>
          <w:rFonts w:ascii="Times New Roman" w:hAnsi="Times New Roman" w:cs="Times New Roman"/>
          <w:sz w:val="24"/>
          <w:szCs w:val="24"/>
        </w:rPr>
        <w:t>):</w:t>
      </w:r>
    </w:p>
    <w:p w:rsidR="0068144C" w:rsidRPr="0068144C" w:rsidRDefault="0068144C" w:rsidP="006814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8144C" w:rsidRDefault="007118BE" w:rsidP="007118BE">
      <w:pPr>
        <w:pStyle w:val="ListParagraph"/>
        <w:numPr>
          <w:ilvl w:val="0"/>
          <w:numId w:val="2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68144C">
        <w:rPr>
          <w:rFonts w:ascii="Times New Roman" w:hAnsi="Times New Roman" w:cs="Times New Roman"/>
          <w:sz w:val="24"/>
          <w:szCs w:val="24"/>
        </w:rPr>
        <w:t xml:space="preserve">  </w:t>
      </w:r>
      <w:r w:rsidR="0068144C" w:rsidRPr="0068144C">
        <w:rPr>
          <w:rFonts w:ascii="Times New Roman" w:hAnsi="Times New Roman" w:cs="Times New Roman"/>
          <w:sz w:val="24"/>
          <w:szCs w:val="24"/>
        </w:rPr>
        <w:t>Provide  for  treatment  of  the  following  claims  that  were  filed  or  amended  after confirmation:___________________________________</w:t>
      </w:r>
      <w:r w:rsidR="0068144C">
        <w:rPr>
          <w:rFonts w:ascii="Times New Roman" w:hAnsi="Times New Roman" w:cs="Times New Roman"/>
          <w:sz w:val="24"/>
          <w:szCs w:val="24"/>
        </w:rPr>
        <w:t>__</w:t>
      </w:r>
      <w:r w:rsidR="0068144C" w:rsidRPr="0068144C">
        <w:rPr>
          <w:rFonts w:ascii="Times New Roman" w:hAnsi="Times New Roman" w:cs="Times New Roman"/>
          <w:sz w:val="24"/>
          <w:szCs w:val="24"/>
        </w:rPr>
        <w:t>.</w:t>
      </w:r>
    </w:p>
    <w:p w:rsidR="0068144C" w:rsidRDefault="0068144C" w:rsidP="007118BE">
      <w:pPr>
        <w:pStyle w:val="ListParagraph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8144C" w:rsidRDefault="007118BE" w:rsidP="007118BE">
      <w:pPr>
        <w:pStyle w:val="ListParagraph"/>
        <w:numPr>
          <w:ilvl w:val="0"/>
          <w:numId w:val="2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68144C">
        <w:rPr>
          <w:rFonts w:ascii="Times New Roman" w:hAnsi="Times New Roman" w:cs="Times New Roman"/>
          <w:sz w:val="24"/>
          <w:szCs w:val="24"/>
        </w:rPr>
        <w:t>Cure a post confirmation payment default.  The reason for the post-petition payment default is: _____________________________________.</w:t>
      </w:r>
    </w:p>
    <w:p w:rsidR="0068144C" w:rsidRPr="0068144C" w:rsidRDefault="0068144C" w:rsidP="007118BE">
      <w:pPr>
        <w:pStyle w:val="ListParagraph"/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68144C" w:rsidRDefault="007118BE" w:rsidP="007118BE">
      <w:pPr>
        <w:pStyle w:val="ListParagraph"/>
        <w:numPr>
          <w:ilvl w:val="0"/>
          <w:numId w:val="2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68144C">
        <w:rPr>
          <w:rFonts w:ascii="Times New Roman" w:hAnsi="Times New Roman" w:cs="Times New Roman"/>
          <w:sz w:val="24"/>
          <w:szCs w:val="24"/>
        </w:rPr>
        <w:t xml:space="preserve">  Address a loss in income that requires a reduction in payments to the Trustee.</w:t>
      </w:r>
    </w:p>
    <w:p w:rsidR="0068144C" w:rsidRPr="0068144C" w:rsidRDefault="0068144C" w:rsidP="007118BE">
      <w:pPr>
        <w:pStyle w:val="ListParagraph"/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68144C" w:rsidRDefault="007118BE" w:rsidP="007118BE">
      <w:pPr>
        <w:pStyle w:val="ListParagraph"/>
        <w:numPr>
          <w:ilvl w:val="0"/>
          <w:numId w:val="2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68144C">
        <w:rPr>
          <w:rFonts w:ascii="Times New Roman" w:hAnsi="Times New Roman" w:cs="Times New Roman"/>
          <w:sz w:val="24"/>
          <w:szCs w:val="24"/>
        </w:rPr>
        <w:t xml:space="preserve">  Address an increase in income that requires an increase in payments to the Trustee.</w:t>
      </w:r>
    </w:p>
    <w:p w:rsidR="0068144C" w:rsidRPr="0068144C" w:rsidRDefault="0068144C" w:rsidP="007118BE">
      <w:pPr>
        <w:pStyle w:val="ListParagraph"/>
        <w:ind w:left="1260" w:hanging="540"/>
        <w:rPr>
          <w:rFonts w:ascii="Times New Roman" w:hAnsi="Times New Roman" w:cs="Times New Roman"/>
          <w:sz w:val="24"/>
          <w:szCs w:val="24"/>
        </w:rPr>
      </w:pPr>
    </w:p>
    <w:p w:rsidR="0068144C" w:rsidRPr="0068144C" w:rsidRDefault="007118BE" w:rsidP="007118BE">
      <w:pPr>
        <w:pStyle w:val="ListParagraph"/>
        <w:numPr>
          <w:ilvl w:val="0"/>
          <w:numId w:val="2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68144C">
        <w:rPr>
          <w:rFonts w:ascii="Times New Roman" w:hAnsi="Times New Roman" w:cs="Times New Roman"/>
          <w:sz w:val="24"/>
          <w:szCs w:val="24"/>
        </w:rPr>
        <w:t xml:space="preserve">  Other: ____________________________________________________.</w:t>
      </w:r>
    </w:p>
    <w:p w:rsidR="0068144C" w:rsidRPr="0068144C" w:rsidRDefault="0068144C" w:rsidP="0068144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8144C" w:rsidRDefault="0068144C" w:rsidP="00223740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Satisfaction of Requirement to File Uniform Modification of Confirmed Plan and Motion for Valuation of Collateral.  </w:t>
      </w:r>
      <w:r>
        <w:rPr>
          <w:rFonts w:ascii="Times New Roman" w:hAnsi="Times New Roman" w:cs="Times New Roman"/>
          <w:sz w:val="24"/>
          <w:szCs w:val="24"/>
        </w:rPr>
        <w:t xml:space="preserve">The Debtor(s) are unable to file a </w:t>
      </w:r>
      <w:r w:rsidR="00223740" w:rsidRPr="00223740">
        <w:rPr>
          <w:rFonts w:ascii="Times New Roman" w:hAnsi="Times New Roman" w:cs="Times New Roman"/>
          <w:sz w:val="24"/>
          <w:szCs w:val="24"/>
        </w:rPr>
        <w:t>Uniform Modification of Confirmed Plan and Motion for Valuation of Collateral</w:t>
      </w:r>
      <w:r w:rsidR="00223740">
        <w:rPr>
          <w:rFonts w:ascii="Times New Roman" w:hAnsi="Times New Roman" w:cs="Times New Roman"/>
          <w:sz w:val="24"/>
          <w:szCs w:val="24"/>
        </w:rPr>
        <w:t xml:space="preserve"> in the form posted on the Court’s website due to the unavailability of </w:t>
      </w:r>
      <w:r w:rsidR="00220790">
        <w:rPr>
          <w:rFonts w:ascii="Times New Roman" w:hAnsi="Times New Roman" w:cs="Times New Roman"/>
          <w:sz w:val="24"/>
          <w:szCs w:val="24"/>
        </w:rPr>
        <w:t>a required software update</w:t>
      </w:r>
      <w:r w:rsidR="00600BD7">
        <w:rPr>
          <w:rFonts w:ascii="Times New Roman" w:hAnsi="Times New Roman" w:cs="Times New Roman"/>
          <w:sz w:val="24"/>
          <w:szCs w:val="24"/>
        </w:rPr>
        <w:t>.</w:t>
      </w:r>
      <w:r w:rsidR="00223740">
        <w:rPr>
          <w:rFonts w:ascii="Times New Roman" w:hAnsi="Times New Roman" w:cs="Times New Roman"/>
          <w:sz w:val="24"/>
          <w:szCs w:val="24"/>
        </w:rPr>
        <w:t xml:space="preserve"> </w:t>
      </w:r>
      <w:r w:rsidR="00600BD7">
        <w:rPr>
          <w:rFonts w:ascii="Times New Roman" w:hAnsi="Times New Roman" w:cs="Times New Roman"/>
          <w:sz w:val="24"/>
          <w:szCs w:val="24"/>
        </w:rPr>
        <w:t xml:space="preserve"> T</w:t>
      </w:r>
      <w:r w:rsidR="00223740">
        <w:rPr>
          <w:rFonts w:ascii="Times New Roman" w:hAnsi="Times New Roman" w:cs="Times New Roman"/>
          <w:sz w:val="24"/>
          <w:szCs w:val="24"/>
        </w:rPr>
        <w:t>he Debtor</w:t>
      </w:r>
      <w:r w:rsidR="00600BD7">
        <w:rPr>
          <w:rFonts w:ascii="Times New Roman" w:hAnsi="Times New Roman" w:cs="Times New Roman"/>
          <w:sz w:val="24"/>
          <w:szCs w:val="24"/>
        </w:rPr>
        <w:t>(</w:t>
      </w:r>
      <w:r w:rsidR="00223740">
        <w:rPr>
          <w:rFonts w:ascii="Times New Roman" w:hAnsi="Times New Roman" w:cs="Times New Roman"/>
          <w:sz w:val="24"/>
          <w:szCs w:val="24"/>
        </w:rPr>
        <w:t>s</w:t>
      </w:r>
      <w:r w:rsidR="00600BD7">
        <w:rPr>
          <w:rFonts w:ascii="Times New Roman" w:hAnsi="Times New Roman" w:cs="Times New Roman"/>
          <w:sz w:val="24"/>
          <w:szCs w:val="24"/>
        </w:rPr>
        <w:t>)</w:t>
      </w:r>
      <w:r w:rsidR="00223740">
        <w:rPr>
          <w:rFonts w:ascii="Times New Roman" w:hAnsi="Times New Roman" w:cs="Times New Roman"/>
          <w:sz w:val="24"/>
          <w:szCs w:val="24"/>
        </w:rPr>
        <w:t xml:space="preserve"> will file a </w:t>
      </w:r>
      <w:r w:rsidR="00223740" w:rsidRPr="00223740">
        <w:rPr>
          <w:rFonts w:ascii="Times New Roman" w:hAnsi="Times New Roman" w:cs="Times New Roman"/>
          <w:sz w:val="24"/>
          <w:szCs w:val="24"/>
        </w:rPr>
        <w:t>Uniform Modification of Confirmed Plan and Motion for Valuation of Collateral</w:t>
      </w:r>
      <w:r w:rsidR="00600BD7">
        <w:rPr>
          <w:rFonts w:ascii="Times New Roman" w:hAnsi="Times New Roman" w:cs="Times New Roman"/>
          <w:sz w:val="24"/>
          <w:szCs w:val="24"/>
        </w:rPr>
        <w:t xml:space="preserve"> no later than January 15, 2018</w:t>
      </w:r>
      <w:r w:rsidR="00223740">
        <w:rPr>
          <w:rFonts w:ascii="Times New Roman" w:hAnsi="Times New Roman" w:cs="Times New Roman"/>
          <w:sz w:val="24"/>
          <w:szCs w:val="24"/>
        </w:rPr>
        <w:t>.</w:t>
      </w:r>
    </w:p>
    <w:p w:rsidR="00223740" w:rsidRDefault="00223740" w:rsidP="0022374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23740" w:rsidRDefault="00223740" w:rsidP="00223740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740">
        <w:rPr>
          <w:rFonts w:ascii="Times New Roman" w:hAnsi="Times New Roman" w:cs="Times New Roman"/>
          <w:b/>
          <w:sz w:val="24"/>
          <w:szCs w:val="24"/>
        </w:rPr>
        <w:t xml:space="preserve">Estimated Payments.  </w:t>
      </w:r>
      <w:r w:rsidRPr="00223740">
        <w:rPr>
          <w:rFonts w:ascii="Times New Roman" w:hAnsi="Times New Roman" w:cs="Times New Roman"/>
          <w:sz w:val="24"/>
          <w:szCs w:val="24"/>
        </w:rPr>
        <w:t>The Debtor(s) have estimated the monthly payments due under the proposed modification that will be filed.</w:t>
      </w:r>
      <w:r>
        <w:rPr>
          <w:rFonts w:ascii="Times New Roman" w:hAnsi="Times New Roman" w:cs="Times New Roman"/>
          <w:sz w:val="24"/>
          <w:szCs w:val="24"/>
        </w:rPr>
        <w:t xml:space="preserve">  The estimate is based on the </w:t>
      </w:r>
      <w:r w:rsidR="006F64D0">
        <w:rPr>
          <w:rFonts w:ascii="Times New Roman" w:hAnsi="Times New Roman" w:cs="Times New Roman"/>
          <w:sz w:val="24"/>
          <w:szCs w:val="24"/>
        </w:rPr>
        <w:t>calculation</w:t>
      </w:r>
      <w:r w:rsidR="00B07597">
        <w:rPr>
          <w:rFonts w:ascii="Times New Roman" w:hAnsi="Times New Roman" w:cs="Times New Roman"/>
          <w:sz w:val="24"/>
          <w:szCs w:val="24"/>
        </w:rPr>
        <w:t xml:space="preserve"> reflected in this table.  The estimates in the calculation are made in good faith</w:t>
      </w:r>
      <w:r w:rsidR="006F64D0">
        <w:rPr>
          <w:rFonts w:ascii="Times New Roman" w:hAnsi="Times New Roman" w:cs="Times New Roman"/>
          <w:sz w:val="24"/>
          <w:szCs w:val="24"/>
        </w:rPr>
        <w:t>:</w:t>
      </w:r>
    </w:p>
    <w:p w:rsidR="00223740" w:rsidRDefault="00223740" w:rsidP="00223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86"/>
        <w:gridCol w:w="6235"/>
        <w:gridCol w:w="1057"/>
        <w:gridCol w:w="920"/>
      </w:tblGrid>
      <w:tr w:rsidR="00A22C7E" w:rsidTr="00600BD7">
        <w:tc>
          <w:tcPr>
            <w:tcW w:w="986" w:type="dxa"/>
            <w:shd w:val="pct15" w:color="auto" w:fill="auto"/>
          </w:tcPr>
          <w:p w:rsidR="00A22C7E" w:rsidRPr="00600BD7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D7">
              <w:rPr>
                <w:rFonts w:ascii="Times New Roman" w:hAnsi="Times New Roman" w:cs="Times New Roman"/>
                <w:b/>
                <w:sz w:val="24"/>
                <w:szCs w:val="24"/>
              </w:rPr>
              <w:t>Line #</w:t>
            </w:r>
          </w:p>
        </w:tc>
        <w:tc>
          <w:tcPr>
            <w:tcW w:w="6235" w:type="dxa"/>
            <w:shd w:val="pct15" w:color="auto" w:fill="auto"/>
          </w:tcPr>
          <w:p w:rsidR="00A22C7E" w:rsidRPr="00600BD7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D7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057" w:type="dxa"/>
            <w:shd w:val="pct15" w:color="auto" w:fill="auto"/>
          </w:tcPr>
          <w:p w:rsidR="00A22C7E" w:rsidRPr="00600BD7" w:rsidRDefault="00A22C7E" w:rsidP="00600B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BD7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pct15" w:color="auto" w:fill="auto"/>
          </w:tcPr>
          <w:p w:rsidR="00A22C7E" w:rsidRPr="00A22C7E" w:rsidRDefault="00A22C7E" w:rsidP="00A22C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Totals</w:t>
            </w: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22C7E" w:rsidRDefault="00A22C7E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Increases in amount of </w:t>
            </w:r>
            <w:r w:rsidR="001A3418">
              <w:rPr>
                <w:rFonts w:ascii="Times New Roman" w:hAnsi="Times New Roman" w:cs="Times New Roman"/>
                <w:sz w:val="24"/>
                <w:szCs w:val="24"/>
              </w:rPr>
              <w:t>arrearages cured under plan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22C7E" w:rsidRDefault="00A22C7E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in amount of priority claims paid through trustee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22C7E" w:rsidRDefault="00A22C7E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Increase in any other secured claim to be paid through the trustee (exclusive of monthly ongoing mortgage payments) 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Post-petition arrearages to trustee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A22C7E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  <w:shd w:val="pct15" w:color="auto" w:fill="auto"/>
          </w:tcPr>
          <w:p w:rsidR="00A22C7E" w:rsidRDefault="00A22C7E" w:rsidP="00BB58DA">
            <w:pPr>
              <w:pStyle w:val="ListParagraph"/>
              <w:keepNext/>
              <w:keepLines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(line</w:t>
            </w:r>
            <w:r w:rsidR="00BB58DA">
              <w:rPr>
                <w:rFonts w:ascii="Times New Roman" w:hAnsi="Times New Roman" w:cs="Times New Roman"/>
                <w:sz w:val="24"/>
                <w:szCs w:val="24"/>
              </w:rPr>
              <w:t xml:space="preserve"> 1 plus line 2 plus line 3 plus line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7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future payments under confirmed plan on property that will be surrendered.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future payments under confirmed plan on property that will be transferred or sold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  <w:shd w:val="pct15" w:color="auto" w:fill="auto"/>
          </w:tcPr>
          <w:p w:rsidR="00A22C7E" w:rsidRDefault="00BB58DA" w:rsidP="00BB58DA">
            <w:pPr>
              <w:pStyle w:val="ListParagraph"/>
              <w:keepNext/>
              <w:keepLines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(line 6 plus line 7</w:t>
            </w:r>
            <w:r w:rsidR="00A22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7" w:type="dxa"/>
            <w:shd w:val="pct15" w:color="auto" w:fill="auto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Remaining months of payments under proposed modification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  <w:shd w:val="pct15" w:color="auto" w:fill="auto"/>
          </w:tcPr>
          <w:p w:rsidR="00A22C7E" w:rsidRDefault="00A22C7E" w:rsidP="00600BD7">
            <w:pPr>
              <w:pStyle w:val="ListParagraph"/>
              <w:keepNext/>
              <w:keepLines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(line</w:t>
            </w:r>
            <w:r w:rsidR="001A3418">
              <w:rPr>
                <w:rFonts w:ascii="Times New Roman" w:hAnsi="Times New Roman" w:cs="Times New Roman"/>
                <w:sz w:val="24"/>
                <w:szCs w:val="24"/>
              </w:rPr>
              <w:t xml:space="preserve"> 5 minus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line 8, divided by line 9)</w:t>
            </w:r>
          </w:p>
        </w:tc>
        <w:tc>
          <w:tcPr>
            <w:tcW w:w="1057" w:type="dxa"/>
            <w:shd w:val="pct15" w:color="auto" w:fill="auto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A22C7E" w:rsidTr="00600BD7">
        <w:tc>
          <w:tcPr>
            <w:tcW w:w="986" w:type="dxa"/>
          </w:tcPr>
          <w:p w:rsidR="00A22C7E" w:rsidRDefault="00A22C7E" w:rsidP="00600BD7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22C7E" w:rsidRDefault="00A22C7E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Estimated interest adjustment factor (line 10 multiplied by 0.5%)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(decrease) in amount of monthly ongoing home mortgage payments paid through trustee</w:t>
            </w:r>
          </w:p>
        </w:tc>
        <w:tc>
          <w:tcPr>
            <w:tcW w:w="1057" w:type="dxa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shd w:val="pct15" w:color="auto" w:fill="auto"/>
          </w:tcPr>
          <w:p w:rsidR="00A22C7E" w:rsidRDefault="00A22C7E" w:rsidP="00600BD7">
            <w:pPr>
              <w:pStyle w:val="ListParagraph"/>
              <w:keepNext/>
              <w:keepLines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Subtotal (line 10 plus line 11 plus line 12)</w:t>
            </w:r>
          </w:p>
        </w:tc>
        <w:tc>
          <w:tcPr>
            <w:tcW w:w="1057" w:type="dxa"/>
            <w:shd w:val="pct15" w:color="auto" w:fill="auto"/>
          </w:tcPr>
          <w:p w:rsidR="00A22C7E" w:rsidRDefault="00A22C7E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22C7E" w:rsidRDefault="00A22C7E" w:rsidP="0022374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Posted Chapter 13 Trustee Fee percentage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22C7E" w:rsidRDefault="00A22C7E" w:rsidP="00D3434B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Increase (decrease) in chapter 13 trustee fees</w:t>
            </w:r>
          </w:p>
          <w:p w:rsidR="00A22C7E" w:rsidRDefault="00A22C7E" w:rsidP="00743C69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multiplied by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22C7E" w:rsidRDefault="00A22C7E" w:rsidP="006F64D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increase (decrease) in reserves established under paragraph 23 of plan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22C7E" w:rsidRDefault="00A22C7E" w:rsidP="00743C69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change in reserves (line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divided by 12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22C7E" w:rsidRDefault="00A22C7E" w:rsidP="00743C69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Monthly change in </w:t>
            </w:r>
            <w:r w:rsidR="00B81D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hapter 13 </w:t>
            </w:r>
            <w:r w:rsidR="00B81DD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rustee </w:t>
            </w:r>
            <w:r w:rsidR="00B81DD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r w:rsidR="00B81D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reserve change (line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multiplied by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22C7E" w:rsidRDefault="00A22C7E" w:rsidP="006F64D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change in emergency savings deposits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8A2FED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5" w:type="dxa"/>
          </w:tcPr>
          <w:p w:rsidR="00A22C7E" w:rsidRDefault="00A22C7E" w:rsidP="006F64D0">
            <w:pPr>
              <w:pStyle w:val="ListParagraph"/>
              <w:keepNext/>
              <w:keepLines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Monthly payments under confirmed plan (if payments are variable, additional lines should be added to reflect the variable payments)</w:t>
            </w:r>
          </w:p>
        </w:tc>
        <w:tc>
          <w:tcPr>
            <w:tcW w:w="1057" w:type="dxa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  <w:tc>
          <w:tcPr>
            <w:tcW w:w="920" w:type="dxa"/>
            <w:shd w:val="pct15" w:color="auto" w:fill="auto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C7E" w:rsidTr="00600BD7">
        <w:tc>
          <w:tcPr>
            <w:tcW w:w="986" w:type="dxa"/>
          </w:tcPr>
          <w:p w:rsidR="00A22C7E" w:rsidRDefault="00A22C7E" w:rsidP="008A2FED">
            <w:pPr>
              <w:pStyle w:val="ListParagraph"/>
              <w:keepNext/>
              <w:keepLine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shd w:val="pct15" w:color="auto" w:fill="auto"/>
          </w:tcPr>
          <w:p w:rsidR="00A22C7E" w:rsidRDefault="00A22C7E" w:rsidP="00743C69">
            <w:pPr>
              <w:pStyle w:val="ListParagraph"/>
              <w:keepNext/>
              <w:keepLines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Forecast monthly payments under modified plan (line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line 1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1DD3">
              <w:rPr>
                <w:rFonts w:ascii="Times New Roman" w:hAnsi="Times New Roman" w:cs="Times New Roman"/>
                <w:sz w:val="24"/>
                <w:szCs w:val="24"/>
              </w:rPr>
              <w:t xml:space="preserve"> plus line </w:t>
            </w:r>
            <w:r w:rsidR="00743C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57" w:type="dxa"/>
            <w:shd w:val="pct15" w:color="auto" w:fill="auto"/>
          </w:tcPr>
          <w:p w:rsidR="00A22C7E" w:rsidRDefault="00A22C7E" w:rsidP="00600BD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A22C7E" w:rsidRDefault="00A22C7E" w:rsidP="00A3678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$0.00</w:t>
            </w:r>
          </w:p>
        </w:tc>
      </w:tr>
    </w:tbl>
    <w:p w:rsidR="00223740" w:rsidRPr="00223740" w:rsidRDefault="00223740" w:rsidP="002237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6786" w:rsidRPr="00A36786" w:rsidRDefault="00A36786" w:rsidP="00600BD7">
      <w:pPr>
        <w:pStyle w:val="ListParagraph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4"/>
          <w:szCs w:val="24"/>
        </w:rPr>
      </w:pPr>
      <w:r w:rsidRPr="00600BD7">
        <w:rPr>
          <w:rFonts w:ascii="Times New Roman" w:hAnsi="Times New Roman" w:cs="Times New Roman"/>
          <w:b/>
          <w:sz w:val="24"/>
          <w:szCs w:val="24"/>
        </w:rPr>
        <w:t>Adjustments.</w:t>
      </w:r>
      <w:r>
        <w:rPr>
          <w:rFonts w:ascii="Times New Roman" w:hAnsi="Times New Roman" w:cs="Times New Roman"/>
          <w:sz w:val="24"/>
          <w:szCs w:val="24"/>
        </w:rPr>
        <w:t xml:space="preserve">  The amount shown in line 2</w:t>
      </w:r>
      <w:r w:rsidR="00743C69">
        <w:rPr>
          <w:rFonts w:ascii="Times New Roman" w:hAnsi="Times New Roman" w:cs="Times New Roman"/>
          <w:sz w:val="24"/>
          <w:szCs w:val="24"/>
        </w:rPr>
        <w:t>1</w:t>
      </w:r>
      <w:r w:rsidRPr="00A36786">
        <w:rPr>
          <w:rFonts w:ascii="Times New Roman" w:hAnsi="Times New Roman" w:cs="Times New Roman"/>
          <w:sz w:val="24"/>
          <w:szCs w:val="24"/>
        </w:rPr>
        <w:t xml:space="preserve"> of the table should be adjusted by a monthly increase (decrease) of $___________.  The reason for this adjustment is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367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___________________________________________________________________________.</w:t>
      </w:r>
    </w:p>
    <w:p w:rsidR="00A36786" w:rsidRPr="00600BD7" w:rsidRDefault="00A36786" w:rsidP="00600BD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23740" w:rsidRDefault="00223740" w:rsidP="00223740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Schedules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 J.  </w:t>
      </w:r>
      <w:r>
        <w:rPr>
          <w:rFonts w:ascii="Times New Roman" w:hAnsi="Times New Roman" w:cs="Times New Roman"/>
          <w:sz w:val="24"/>
          <w:szCs w:val="24"/>
        </w:rPr>
        <w:t xml:space="preserve">Attached to this </w:t>
      </w:r>
      <w:r w:rsidR="00743C69">
        <w:rPr>
          <w:rFonts w:ascii="Times New Roman" w:hAnsi="Times New Roman" w:cs="Times New Roman"/>
          <w:sz w:val="24"/>
          <w:szCs w:val="24"/>
        </w:rPr>
        <w:t>proposed modification</w:t>
      </w:r>
      <w:r>
        <w:rPr>
          <w:rFonts w:ascii="Times New Roman" w:hAnsi="Times New Roman" w:cs="Times New Roman"/>
          <w:sz w:val="24"/>
          <w:szCs w:val="24"/>
        </w:rPr>
        <w:t xml:space="preserve"> are revised schedules I and J to reflect the Debtor(s)’ current income and expenses.  </w:t>
      </w:r>
    </w:p>
    <w:p w:rsidR="006F64D0" w:rsidRDefault="006F64D0" w:rsidP="006F64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F64D0" w:rsidRDefault="006F64D0" w:rsidP="00223740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Payment Order.  </w:t>
      </w:r>
      <w:r>
        <w:rPr>
          <w:rFonts w:ascii="Times New Roman" w:hAnsi="Times New Roman" w:cs="Times New Roman"/>
          <w:sz w:val="24"/>
          <w:szCs w:val="24"/>
        </w:rPr>
        <w:t xml:space="preserve">Contemporaneously with the filing of this </w:t>
      </w:r>
      <w:r w:rsidR="00743C69">
        <w:rPr>
          <w:rFonts w:ascii="Times New Roman" w:hAnsi="Times New Roman" w:cs="Times New Roman"/>
          <w:sz w:val="24"/>
          <w:szCs w:val="24"/>
        </w:rPr>
        <w:t>proposed modification</w:t>
      </w:r>
      <w:r>
        <w:rPr>
          <w:rFonts w:ascii="Times New Roman" w:hAnsi="Times New Roman" w:cs="Times New Roman"/>
          <w:sz w:val="24"/>
          <w:szCs w:val="24"/>
        </w:rPr>
        <w:t xml:space="preserve">, the Debtor(s) have filed a proposed wage order or electronic payment order reflecting the forecast payment in line </w:t>
      </w:r>
      <w:r w:rsidR="00A36786">
        <w:rPr>
          <w:rFonts w:ascii="Times New Roman" w:hAnsi="Times New Roman" w:cs="Times New Roman"/>
          <w:sz w:val="24"/>
          <w:szCs w:val="24"/>
        </w:rPr>
        <w:t>2</w:t>
      </w:r>
      <w:r w:rsidR="00743C69">
        <w:rPr>
          <w:rFonts w:ascii="Times New Roman" w:hAnsi="Times New Roman" w:cs="Times New Roman"/>
          <w:sz w:val="24"/>
          <w:szCs w:val="24"/>
        </w:rPr>
        <w:t>1</w:t>
      </w:r>
      <w:r w:rsidR="00A36786">
        <w:rPr>
          <w:rFonts w:ascii="Times New Roman" w:hAnsi="Times New Roman" w:cs="Times New Roman"/>
          <w:sz w:val="24"/>
          <w:szCs w:val="24"/>
        </w:rPr>
        <w:t xml:space="preserve"> of the table, as adjusted by paragraph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1DD3" w:rsidRPr="00B81DD3" w:rsidRDefault="00B81DD3" w:rsidP="00B81D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DD3" w:rsidRPr="00B81DD3" w:rsidRDefault="00B81DD3" w:rsidP="00B8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Submitted by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Debtor Signature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Joint Debtor Signature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_________________________________________</w:t>
      </w:r>
    </w:p>
    <w:p w:rsidR="00B81DD3" w:rsidRPr="00B81DD3" w:rsidRDefault="00B81DD3" w:rsidP="00B81DD3">
      <w:pPr>
        <w:keepNext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>[Name, address, email and phone of Debtor(s) or of Debtor(s)’ attorney]</w:t>
      </w:r>
    </w:p>
    <w:p w:rsidR="00B81DD3" w:rsidRPr="00B81DD3" w:rsidRDefault="00B81DD3" w:rsidP="00B8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81DD3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B81DD3" w:rsidRPr="00B81DD3" w:rsidRDefault="00B81DD3" w:rsidP="00B8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81DD3" w:rsidRPr="00B81DD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57D" w:rsidRDefault="0062557D" w:rsidP="006F64D0">
      <w:pPr>
        <w:spacing w:after="0" w:line="240" w:lineRule="auto"/>
      </w:pPr>
      <w:r>
        <w:separator/>
      </w:r>
    </w:p>
  </w:endnote>
  <w:endnote w:type="continuationSeparator" w:id="0">
    <w:p w:rsidR="0062557D" w:rsidRDefault="0062557D" w:rsidP="006F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57D" w:rsidRDefault="0062557D" w:rsidP="006F64D0">
      <w:pPr>
        <w:spacing w:after="0" w:line="240" w:lineRule="auto"/>
      </w:pPr>
      <w:r>
        <w:separator/>
      </w:r>
    </w:p>
  </w:footnote>
  <w:footnote w:type="continuationSeparator" w:id="0">
    <w:p w:rsidR="0062557D" w:rsidRDefault="0062557D" w:rsidP="006F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DA" w:rsidRDefault="00BB58DA" w:rsidP="00BB58D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62B"/>
    <w:multiLevelType w:val="hybridMultilevel"/>
    <w:tmpl w:val="2C96FF28"/>
    <w:lvl w:ilvl="0" w:tplc="484E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2F4E5C"/>
    <w:multiLevelType w:val="hybridMultilevel"/>
    <w:tmpl w:val="DF2AE506"/>
    <w:lvl w:ilvl="0" w:tplc="B2FE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A55F5F"/>
    <w:multiLevelType w:val="hybridMultilevel"/>
    <w:tmpl w:val="3DE04CB4"/>
    <w:lvl w:ilvl="0" w:tplc="E92488C2">
      <w:start w:val="1"/>
      <w:numFmt w:val="bullet"/>
      <w:lvlText w:val=""/>
      <w:lvlJc w:val="left"/>
      <w:pPr>
        <w:ind w:left="225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81"/>
    <w:rsid w:val="00066B86"/>
    <w:rsid w:val="000F53F8"/>
    <w:rsid w:val="0014648D"/>
    <w:rsid w:val="001A3418"/>
    <w:rsid w:val="001D30C8"/>
    <w:rsid w:val="00220790"/>
    <w:rsid w:val="00223740"/>
    <w:rsid w:val="00313685"/>
    <w:rsid w:val="00400405"/>
    <w:rsid w:val="00475EE6"/>
    <w:rsid w:val="00600BD7"/>
    <w:rsid w:val="0062557D"/>
    <w:rsid w:val="0064114B"/>
    <w:rsid w:val="0068144C"/>
    <w:rsid w:val="006F64D0"/>
    <w:rsid w:val="007118BE"/>
    <w:rsid w:val="007134D1"/>
    <w:rsid w:val="0072227B"/>
    <w:rsid w:val="00743C69"/>
    <w:rsid w:val="007C35E6"/>
    <w:rsid w:val="0082720B"/>
    <w:rsid w:val="008A2FED"/>
    <w:rsid w:val="008C27B3"/>
    <w:rsid w:val="00936470"/>
    <w:rsid w:val="00983A60"/>
    <w:rsid w:val="00991071"/>
    <w:rsid w:val="00A042F7"/>
    <w:rsid w:val="00A22C7E"/>
    <w:rsid w:val="00A36692"/>
    <w:rsid w:val="00A36786"/>
    <w:rsid w:val="00A444D7"/>
    <w:rsid w:val="00B07597"/>
    <w:rsid w:val="00B81DD3"/>
    <w:rsid w:val="00BB58DA"/>
    <w:rsid w:val="00CA190C"/>
    <w:rsid w:val="00CF5E81"/>
    <w:rsid w:val="00D3434B"/>
    <w:rsid w:val="00DC5D11"/>
    <w:rsid w:val="00DC6A6E"/>
    <w:rsid w:val="00E9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1"/>
    <w:pPr>
      <w:ind w:left="720"/>
      <w:contextualSpacing/>
    </w:pPr>
  </w:style>
  <w:style w:type="table" w:styleId="TableGrid">
    <w:name w:val="Table Grid"/>
    <w:basedOn w:val="TableNormal"/>
    <w:uiPriority w:val="59"/>
    <w:rsid w:val="0022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64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4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64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DA"/>
  </w:style>
  <w:style w:type="paragraph" w:styleId="Footer">
    <w:name w:val="footer"/>
    <w:basedOn w:val="Normal"/>
    <w:link w:val="FooterChar"/>
    <w:uiPriority w:val="99"/>
    <w:unhideWhenUsed/>
    <w:rsid w:val="00BB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81"/>
    <w:pPr>
      <w:ind w:left="720"/>
      <w:contextualSpacing/>
    </w:pPr>
  </w:style>
  <w:style w:type="table" w:styleId="TableGrid">
    <w:name w:val="Table Grid"/>
    <w:basedOn w:val="TableNormal"/>
    <w:uiPriority w:val="59"/>
    <w:rsid w:val="0022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64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4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64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DA"/>
  </w:style>
  <w:style w:type="paragraph" w:styleId="Footer">
    <w:name w:val="footer"/>
    <w:basedOn w:val="Normal"/>
    <w:link w:val="FooterChar"/>
    <w:uiPriority w:val="99"/>
    <w:unhideWhenUsed/>
    <w:rsid w:val="00BB5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4D65D-8A39-4A73-B9D6-57C84139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MarvinIsgur</dc:creator>
  <cp:lastModifiedBy>RobbieWestmoreland</cp:lastModifiedBy>
  <cp:revision>2</cp:revision>
  <cp:lastPrinted>2017-12-08T21:39:00Z</cp:lastPrinted>
  <dcterms:created xsi:type="dcterms:W3CDTF">2017-12-08T21:56:00Z</dcterms:created>
  <dcterms:modified xsi:type="dcterms:W3CDTF">2017-12-08T21:56:00Z</dcterms:modified>
</cp:coreProperties>
</file>