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931F" w14:textId="77777777" w:rsidR="004F7223" w:rsidRPr="007D29CB" w:rsidRDefault="004F7223" w:rsidP="004F722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F1CE20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D6E80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517C7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>United States District Court</w:t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Southern District of Texas</w:t>
      </w:r>
    </w:p>
    <w:p w14:paraId="296E0569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7D29CB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Brownsville Division</w:t>
      </w:r>
    </w:p>
    <w:p w14:paraId="7CD257FF" w14:textId="77777777" w:rsidR="004F7223" w:rsidRPr="007D29CB" w:rsidRDefault="004F7223" w:rsidP="004F722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86BD16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34"/>
        <w:gridCol w:w="4417"/>
      </w:tblGrid>
      <w:tr w:rsidR="004F7223" w:rsidRPr="007D29CB" w14:paraId="61C2B76B" w14:textId="77777777" w:rsidTr="00DA3D43">
        <w:tc>
          <w:tcPr>
            <w:tcW w:w="4518" w:type="dxa"/>
          </w:tcPr>
          <w:p w14:paraId="4810BAC0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4D935B6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5BEE586A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663BD87C" w14:textId="77777777" w:rsidTr="00DA3D43">
        <w:tc>
          <w:tcPr>
            <w:tcW w:w="4518" w:type="dxa"/>
          </w:tcPr>
          <w:p w14:paraId="060366B5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87D145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347421A7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127B161C" w14:textId="77777777" w:rsidTr="00DA3D43">
        <w:tc>
          <w:tcPr>
            <w:tcW w:w="4518" w:type="dxa"/>
          </w:tcPr>
          <w:p w14:paraId="20ECFE91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EEBB45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6793218D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1C789EBB" w14:textId="77777777" w:rsidTr="00DA3D43">
        <w:tc>
          <w:tcPr>
            <w:tcW w:w="4518" w:type="dxa"/>
          </w:tcPr>
          <w:p w14:paraId="170BFBA1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i/>
                <w:sz w:val="24"/>
                <w:szCs w:val="24"/>
              </w:rPr>
              <w:t>versus</w:t>
            </w:r>
          </w:p>
        </w:tc>
        <w:tc>
          <w:tcPr>
            <w:tcW w:w="540" w:type="dxa"/>
          </w:tcPr>
          <w:p w14:paraId="41C0FF98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241A3539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Civil Action B-</w:t>
            </w:r>
          </w:p>
        </w:tc>
      </w:tr>
      <w:tr w:rsidR="004F7223" w:rsidRPr="007D29CB" w14:paraId="25C23B6B" w14:textId="77777777" w:rsidTr="00DA3D43">
        <w:tc>
          <w:tcPr>
            <w:tcW w:w="4518" w:type="dxa"/>
          </w:tcPr>
          <w:p w14:paraId="5A6E294C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333FBF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7C2154E1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7A3F51DE" w14:textId="77777777" w:rsidTr="00DA3D43">
        <w:tc>
          <w:tcPr>
            <w:tcW w:w="4518" w:type="dxa"/>
          </w:tcPr>
          <w:p w14:paraId="276E3F21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78A4DD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6E597DE3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594AF072" w14:textId="77777777" w:rsidTr="00DA3D43">
        <w:tc>
          <w:tcPr>
            <w:tcW w:w="4518" w:type="dxa"/>
          </w:tcPr>
          <w:p w14:paraId="6A349AC5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2271C5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67739C95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3" w:rsidRPr="007D29CB" w14:paraId="639F6CDD" w14:textId="77777777" w:rsidTr="00DA3D43">
        <w:tc>
          <w:tcPr>
            <w:tcW w:w="4518" w:type="dxa"/>
          </w:tcPr>
          <w:p w14:paraId="2AF729F8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11DFCA" w14:textId="77777777" w:rsidR="004F7223" w:rsidRPr="007D29CB" w:rsidRDefault="004F7223" w:rsidP="00DA3D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518" w:type="dxa"/>
          </w:tcPr>
          <w:p w14:paraId="33C33A46" w14:textId="77777777" w:rsidR="004F7223" w:rsidRPr="007D29CB" w:rsidRDefault="004F7223" w:rsidP="00DA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04787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4FFCD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D29CB">
        <w:rPr>
          <w:rFonts w:ascii="Times New Roman" w:hAnsi="Times New Roman" w:cs="Times New Roman"/>
          <w:b/>
          <w:caps/>
          <w:sz w:val="24"/>
          <w:szCs w:val="24"/>
          <w:u w:val="single"/>
        </w:rPr>
        <w:t>Order Setting Conference</w:t>
      </w:r>
    </w:p>
    <w:p w14:paraId="70B63BC1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1F449D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Counsel </w:t>
      </w:r>
      <w:r w:rsidRPr="00E434CC">
        <w:rPr>
          <w:rFonts w:ascii="Times New Roman" w:hAnsi="Times New Roman" w:cs="Times New Roman"/>
          <w:sz w:val="24"/>
          <w:szCs w:val="24"/>
        </w:rPr>
        <w:t>must</w:t>
      </w:r>
      <w:r w:rsidRPr="007D29CB">
        <w:rPr>
          <w:rFonts w:ascii="Times New Roman" w:hAnsi="Times New Roman" w:cs="Times New Roman"/>
          <w:sz w:val="24"/>
          <w:szCs w:val="24"/>
        </w:rPr>
        <w:t xml:space="preserve"> appear for an initial pretrial conference:</w:t>
      </w:r>
    </w:p>
    <w:p w14:paraId="3C980B49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5B79A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CB">
        <w:rPr>
          <w:rFonts w:ascii="Times New Roman" w:hAnsi="Times New Roman" w:cs="Times New Roman"/>
          <w:b/>
          <w:sz w:val="24"/>
          <w:szCs w:val="24"/>
        </w:rPr>
        <w:t>__________ ___,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D29CB">
        <w:rPr>
          <w:rFonts w:ascii="Times New Roman" w:hAnsi="Times New Roman" w:cs="Times New Roman"/>
          <w:b/>
          <w:sz w:val="24"/>
          <w:szCs w:val="24"/>
        </w:rPr>
        <w:t>___, at _________</w:t>
      </w:r>
      <w:proofErr w:type="gramStart"/>
      <w:r w:rsidRPr="007D29CB">
        <w:rPr>
          <w:rFonts w:ascii="Times New Roman" w:hAnsi="Times New Roman" w:cs="Times New Roman"/>
          <w:b/>
          <w:sz w:val="24"/>
          <w:szCs w:val="24"/>
        </w:rPr>
        <w:t>_  _</w:t>
      </w:r>
      <w:proofErr w:type="gramEnd"/>
      <w:r w:rsidRPr="007D29CB">
        <w:rPr>
          <w:rFonts w:ascii="Times New Roman" w:hAnsi="Times New Roman" w:cs="Times New Roman"/>
          <w:b/>
          <w:sz w:val="24"/>
          <w:szCs w:val="24"/>
        </w:rPr>
        <w:t>__.m.</w:t>
      </w:r>
    </w:p>
    <w:p w14:paraId="00915EC0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Before the Honorable Rolando Olvera</w:t>
      </w:r>
    </w:p>
    <w:p w14:paraId="63EC8A05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United States District Judge</w:t>
      </w:r>
      <w:r w:rsidRPr="007D29CB">
        <w:rPr>
          <w:rFonts w:ascii="Times New Roman" w:hAnsi="Times New Roman" w:cs="Times New Roman"/>
          <w:sz w:val="24"/>
          <w:szCs w:val="24"/>
        </w:rPr>
        <w:br/>
        <w:t>Third Floor—Courtroom No. 4</w:t>
      </w:r>
    </w:p>
    <w:p w14:paraId="0477CA59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United States Courthouse</w:t>
      </w:r>
    </w:p>
    <w:p w14:paraId="029A5FD3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600 E. Harrison Street</w:t>
      </w:r>
    </w:p>
    <w:p w14:paraId="775ACA8F" w14:textId="77777777" w:rsidR="004F7223" w:rsidRPr="007D29CB" w:rsidRDefault="004F7223" w:rsidP="004F72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Brownsville, TX 78520</w:t>
      </w:r>
    </w:p>
    <w:p w14:paraId="7119D6E5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60535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Within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15 days</w:t>
      </w:r>
      <w:r w:rsidRPr="007D29CB">
        <w:rPr>
          <w:rFonts w:ascii="Times New Roman" w:hAnsi="Times New Roman" w:cs="Times New Roman"/>
          <w:sz w:val="24"/>
          <w:szCs w:val="24"/>
        </w:rPr>
        <w:t xml:space="preserve"> of receiving this order, counsel must file a list of all entities that are financially interested in this litigation, including parent, subsidiary, and affiliated corporations as well as all known attorneys of record.  When a group description is effective disclosure, an individual listing is </w:t>
      </w:r>
      <w:r w:rsidRPr="00817805">
        <w:rPr>
          <w:rFonts w:ascii="Times New Roman" w:hAnsi="Times New Roman" w:cs="Times New Roman"/>
          <w:sz w:val="24"/>
          <w:szCs w:val="24"/>
        </w:rPr>
        <w:t xml:space="preserve">unnecessary.  </w:t>
      </w:r>
      <w:r w:rsidRPr="00817805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nderline the names of corporations with publicly traded securities.</w:t>
      </w:r>
      <w:r w:rsidRPr="007D29CB">
        <w:rPr>
          <w:rFonts w:ascii="Times New Roman" w:hAnsi="Times New Roman" w:cs="Times New Roman"/>
          <w:sz w:val="24"/>
          <w:szCs w:val="24"/>
        </w:rPr>
        <w:t xml:space="preserve">  Counsel must promptly amend the list when parties </w:t>
      </w:r>
      <w:r w:rsidRPr="00817805">
        <w:rPr>
          <w:rFonts w:ascii="Times New Roman" w:hAnsi="Times New Roman" w:cs="Times New Roman"/>
          <w:sz w:val="24"/>
          <w:szCs w:val="24"/>
        </w:rPr>
        <w:t>are added</w:t>
      </w:r>
      <w:r w:rsidRPr="00E434CC">
        <w:rPr>
          <w:rFonts w:ascii="Times New Roman" w:hAnsi="Times New Roman" w:cs="Times New Roman"/>
          <w:sz w:val="24"/>
          <w:szCs w:val="24"/>
        </w:rPr>
        <w:t>,</w:t>
      </w:r>
      <w:r w:rsidRPr="007D29CB">
        <w:rPr>
          <w:rFonts w:ascii="Times New Roman" w:hAnsi="Times New Roman" w:cs="Times New Roman"/>
          <w:sz w:val="24"/>
          <w:szCs w:val="24"/>
        </w:rPr>
        <w:t xml:space="preserve"> or additional interested parties </w:t>
      </w:r>
      <w:r w:rsidRPr="00817805">
        <w:rPr>
          <w:rFonts w:ascii="Times New Roman" w:hAnsi="Times New Roman" w:cs="Times New Roman"/>
          <w:sz w:val="24"/>
          <w:szCs w:val="24"/>
        </w:rPr>
        <w:t>are identified</w:t>
      </w:r>
      <w:r w:rsidRPr="007D29CB">
        <w:rPr>
          <w:rFonts w:ascii="Times New Roman" w:hAnsi="Times New Roman" w:cs="Times New Roman"/>
          <w:sz w:val="24"/>
          <w:szCs w:val="24"/>
        </w:rPr>
        <w:t>.</w:t>
      </w:r>
    </w:p>
    <w:p w14:paraId="0A127908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01B9D2EB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The plaintiff must serve</w:t>
      </w:r>
      <w:r w:rsidRPr="00E434CC">
        <w:rPr>
          <w:rFonts w:ascii="Times New Roman" w:hAnsi="Times New Roman" w:cs="Times New Roman"/>
          <w:sz w:val="24"/>
          <w:szCs w:val="24"/>
        </w:rPr>
        <w:t xml:space="preserve"> defendant</w:t>
      </w:r>
      <w:r w:rsidRPr="007D29CB">
        <w:rPr>
          <w:rFonts w:ascii="Times New Roman" w:hAnsi="Times New Roman" w:cs="Times New Roman"/>
          <w:sz w:val="24"/>
          <w:szCs w:val="24"/>
        </w:rPr>
        <w:t xml:space="preserve"> within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90 days</w:t>
      </w:r>
      <w:r w:rsidRPr="007D29CB">
        <w:rPr>
          <w:rFonts w:ascii="Times New Roman" w:hAnsi="Times New Roman" w:cs="Times New Roman"/>
          <w:sz w:val="24"/>
          <w:szCs w:val="24"/>
        </w:rPr>
        <w:t xml:space="preserve"> of filing the complaint.  The plaintiff’s failure to file proof of service within that time may result in dismissal by </w:t>
      </w:r>
      <w:r w:rsidRPr="00817805">
        <w:rPr>
          <w:rFonts w:ascii="Times New Roman" w:hAnsi="Times New Roman" w:cs="Times New Roman"/>
          <w:sz w:val="24"/>
          <w:szCs w:val="24"/>
        </w:rPr>
        <w:t>the court</w:t>
      </w:r>
      <w:r w:rsidRPr="007D29CB">
        <w:rPr>
          <w:rFonts w:ascii="Times New Roman" w:hAnsi="Times New Roman" w:cs="Times New Roman"/>
          <w:sz w:val="24"/>
          <w:szCs w:val="24"/>
        </w:rPr>
        <w:t xml:space="preserve"> on its own initiative.  </w:t>
      </w:r>
      <w:r w:rsidRPr="007D29CB">
        <w:rPr>
          <w:rFonts w:ascii="Times New Roman" w:hAnsi="Times New Roman" w:cs="Times New Roman"/>
          <w:i/>
          <w:sz w:val="24"/>
          <w:szCs w:val="24"/>
        </w:rPr>
        <w:t>See</w:t>
      </w:r>
      <w:r w:rsidRPr="007D29CB">
        <w:rPr>
          <w:rFonts w:ascii="Times New Roman" w:hAnsi="Times New Roman" w:cs="Times New Roman"/>
          <w:sz w:val="24"/>
          <w:szCs w:val="24"/>
        </w:rPr>
        <w:t xml:space="preserve"> Fed. R. Civ. P. 4(m).</w:t>
      </w:r>
    </w:p>
    <w:p w14:paraId="50DD3EE3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2C2692D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7D29CB">
        <w:rPr>
          <w:rFonts w:ascii="Times New Roman" w:hAnsi="Times New Roman" w:cs="Times New Roman"/>
          <w:sz w:val="24"/>
          <w:szCs w:val="24"/>
          <w:u w:val="single"/>
        </w:rPr>
        <w:t>14 days</w:t>
      </w:r>
      <w:r w:rsidRPr="007D29CB">
        <w:rPr>
          <w:rFonts w:ascii="Times New Roman" w:hAnsi="Times New Roman" w:cs="Times New Roman"/>
          <w:sz w:val="24"/>
          <w:szCs w:val="24"/>
        </w:rPr>
        <w:t xml:space="preserve"> before the initial pretrial conference, counsel must file a joint case management plan listing the identities and purposes of </w:t>
      </w:r>
      <w:r w:rsidRPr="00E434CC">
        <w:rPr>
          <w:rFonts w:ascii="Times New Roman" w:hAnsi="Times New Roman" w:cs="Times New Roman"/>
          <w:sz w:val="24"/>
          <w:szCs w:val="24"/>
        </w:rPr>
        <w:t>witnesses, sources, and types</w:t>
      </w:r>
      <w:r w:rsidRPr="007D29CB">
        <w:rPr>
          <w:rFonts w:ascii="Times New Roman" w:hAnsi="Times New Roman" w:cs="Times New Roman"/>
          <w:sz w:val="24"/>
          <w:szCs w:val="24"/>
        </w:rPr>
        <w:t xml:space="preserve"> of documents, and other requirements for a prompt and inexpensive preparation of this case for disposition by motion or trial.  </w:t>
      </w:r>
      <w:r w:rsidRPr="007D29CB">
        <w:rPr>
          <w:rFonts w:ascii="Times New Roman" w:hAnsi="Times New Roman" w:cs="Times New Roman"/>
          <w:i/>
          <w:sz w:val="24"/>
          <w:szCs w:val="24"/>
        </w:rPr>
        <w:t>See</w:t>
      </w:r>
      <w:r w:rsidRPr="007D29CB">
        <w:rPr>
          <w:rFonts w:ascii="Times New Roman" w:hAnsi="Times New Roman" w:cs="Times New Roman"/>
          <w:sz w:val="24"/>
          <w:szCs w:val="24"/>
        </w:rPr>
        <w:t xml:space="preserve"> Fed R. Civ. P. Rule 26(f).</w:t>
      </w:r>
    </w:p>
    <w:p w14:paraId="0749C49C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4083F4F" w14:textId="77777777" w:rsidR="004F7223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Pr="00900CC6">
        <w:rPr>
          <w:rFonts w:ascii="Times New Roman" w:hAnsi="Times New Roman" w:cs="Times New Roman"/>
          <w:sz w:val="24"/>
          <w:szCs w:val="24"/>
          <w:u w:val="single"/>
        </w:rPr>
        <w:t>5 days</w:t>
      </w:r>
      <w:r>
        <w:rPr>
          <w:rFonts w:ascii="Times New Roman" w:hAnsi="Times New Roman" w:cs="Times New Roman"/>
          <w:sz w:val="24"/>
          <w:szCs w:val="24"/>
        </w:rPr>
        <w:t xml:space="preserve"> before the initial pretrial conference, counsel must file a joint proposed scheduling order using the Court’s template.</w:t>
      </w:r>
    </w:p>
    <w:p w14:paraId="3B717ABD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lastRenderedPageBreak/>
        <w:t xml:space="preserve">The parties </w:t>
      </w:r>
      <w:r w:rsidRPr="00E434CC">
        <w:rPr>
          <w:rFonts w:ascii="Times New Roman" w:hAnsi="Times New Roman" w:cs="Times New Roman"/>
          <w:sz w:val="24"/>
          <w:szCs w:val="24"/>
        </w:rPr>
        <w:t>must</w:t>
      </w:r>
      <w:r w:rsidRPr="007D29CB">
        <w:rPr>
          <w:rFonts w:ascii="Times New Roman" w:hAnsi="Times New Roman" w:cs="Times New Roman"/>
          <w:sz w:val="24"/>
          <w:szCs w:val="24"/>
        </w:rPr>
        <w:t xml:space="preserve"> agree </w:t>
      </w:r>
      <w:r w:rsidRPr="00E434CC">
        <w:rPr>
          <w:rFonts w:ascii="Times New Roman" w:hAnsi="Times New Roman" w:cs="Times New Roman"/>
          <w:sz w:val="24"/>
          <w:szCs w:val="24"/>
        </w:rPr>
        <w:t>on other deadlines</w:t>
      </w:r>
      <w:r w:rsidRPr="007D29CB">
        <w:rPr>
          <w:rFonts w:ascii="Times New Roman" w:hAnsi="Times New Roman" w:cs="Times New Roman"/>
          <w:sz w:val="24"/>
          <w:szCs w:val="24"/>
        </w:rPr>
        <w:t xml:space="preserve"> for completion of pretrial matters including all expert designation dates and discovery deadlines, as well as dates for exchanging of initial disclosures if they have not already </w:t>
      </w:r>
      <w:r w:rsidRPr="00817805">
        <w:rPr>
          <w:rFonts w:ascii="Times New Roman" w:hAnsi="Times New Roman" w:cs="Times New Roman"/>
          <w:sz w:val="24"/>
          <w:szCs w:val="24"/>
        </w:rPr>
        <w:t>been completed</w:t>
      </w:r>
      <w:r w:rsidRPr="007D29CB">
        <w:rPr>
          <w:rFonts w:ascii="Times New Roman" w:hAnsi="Times New Roman" w:cs="Times New Roman"/>
          <w:sz w:val="24"/>
          <w:szCs w:val="24"/>
        </w:rPr>
        <w:t>.</w:t>
      </w:r>
    </w:p>
    <w:p w14:paraId="0B7E719D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0CD95C6B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By the initial pretrial conference, counsel will have interviewed their clients and read all relevant documents; readily available documents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Pr="00817805">
        <w:rPr>
          <w:rFonts w:ascii="Times New Roman" w:hAnsi="Times New Roman" w:cs="Times New Roman"/>
          <w:sz w:val="24"/>
          <w:szCs w:val="24"/>
        </w:rPr>
        <w:t>be exchanged</w:t>
      </w:r>
      <w:r w:rsidRPr="007D29CB">
        <w:rPr>
          <w:rFonts w:ascii="Times New Roman" w:hAnsi="Times New Roman" w:cs="Times New Roman"/>
          <w:sz w:val="24"/>
          <w:szCs w:val="24"/>
        </w:rPr>
        <w:t xml:space="preserve"> at the meeting to create and sign the required Case Management Plan at the latest.</w:t>
      </w:r>
    </w:p>
    <w:p w14:paraId="09BB3A2F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6EB3D139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The court will set a schedule for initial preparation and may rule on motions pending or made at the conference.</w:t>
      </w:r>
    </w:p>
    <w:p w14:paraId="036E61BC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3CA81DAC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Counsel in charge of a case must appear at all hearings or </w:t>
      </w:r>
      <w:r w:rsidRPr="00E434CC">
        <w:rPr>
          <w:rFonts w:ascii="Times New Roman" w:hAnsi="Times New Roman" w:cs="Times New Roman"/>
          <w:sz w:val="24"/>
          <w:szCs w:val="24"/>
        </w:rPr>
        <w:t xml:space="preserve">conferences.  </w:t>
      </w:r>
      <w:r w:rsidRPr="007D29CB">
        <w:rPr>
          <w:rFonts w:ascii="Times New Roman" w:hAnsi="Times New Roman" w:cs="Times New Roman"/>
          <w:sz w:val="24"/>
          <w:szCs w:val="24"/>
        </w:rPr>
        <w:t xml:space="preserve">A motion to appear on behalf of the attorney−in−charge will be granted only upon showing of good cause, and only if the attorney to </w:t>
      </w:r>
      <w:r w:rsidRPr="00E434CC">
        <w:rPr>
          <w:rFonts w:ascii="Times New Roman" w:hAnsi="Times New Roman" w:cs="Times New Roman"/>
          <w:sz w:val="24"/>
          <w:szCs w:val="24"/>
        </w:rPr>
        <w:t>be substituted</w:t>
      </w:r>
      <w:r w:rsidRPr="007D29CB">
        <w:rPr>
          <w:rFonts w:ascii="Times New Roman" w:hAnsi="Times New Roman" w:cs="Times New Roman"/>
          <w:sz w:val="24"/>
          <w:szCs w:val="24"/>
        </w:rPr>
        <w:t xml:space="preserve"> is familiar with the case and </w:t>
      </w:r>
      <w:r w:rsidRPr="00817805">
        <w:rPr>
          <w:rFonts w:ascii="Times New Roman" w:hAnsi="Times New Roman" w:cs="Times New Roman"/>
          <w:sz w:val="24"/>
          <w:szCs w:val="24"/>
        </w:rPr>
        <w:t>has authority to</w:t>
      </w:r>
      <w:r w:rsidRPr="007D29CB">
        <w:rPr>
          <w:rFonts w:ascii="Times New Roman" w:hAnsi="Times New Roman" w:cs="Times New Roman"/>
          <w:sz w:val="24"/>
          <w:szCs w:val="24"/>
        </w:rPr>
        <w:t xml:space="preserve"> bind the </w:t>
      </w:r>
      <w:r w:rsidRPr="00E434CC">
        <w:rPr>
          <w:rFonts w:ascii="Times New Roman" w:hAnsi="Times New Roman" w:cs="Times New Roman"/>
          <w:sz w:val="24"/>
          <w:szCs w:val="24"/>
        </w:rPr>
        <w:t xml:space="preserve">client.  </w:t>
      </w:r>
      <w:r w:rsidRPr="007D29CB">
        <w:rPr>
          <w:rFonts w:ascii="Times New Roman" w:hAnsi="Times New Roman" w:cs="Times New Roman"/>
          <w:sz w:val="24"/>
          <w:szCs w:val="24"/>
        </w:rPr>
        <w:t xml:space="preserve">The motion to appear must </w:t>
      </w:r>
      <w:r w:rsidRPr="00817805">
        <w:rPr>
          <w:rFonts w:ascii="Times New Roman" w:hAnsi="Times New Roman" w:cs="Times New Roman"/>
          <w:sz w:val="24"/>
          <w:szCs w:val="24"/>
        </w:rPr>
        <w:t>be ruled</w:t>
      </w:r>
      <w:r w:rsidRPr="007D29CB">
        <w:rPr>
          <w:rFonts w:ascii="Times New Roman" w:hAnsi="Times New Roman" w:cs="Times New Roman"/>
          <w:sz w:val="24"/>
          <w:szCs w:val="24"/>
        </w:rPr>
        <w:t xml:space="preserve"> on </w:t>
      </w:r>
      <w:r w:rsidRPr="00817805">
        <w:rPr>
          <w:rFonts w:ascii="Times New Roman" w:hAnsi="Times New Roman" w:cs="Times New Roman"/>
          <w:sz w:val="24"/>
          <w:szCs w:val="24"/>
        </w:rPr>
        <w:t>in advance of</w:t>
      </w:r>
      <w:r w:rsidRPr="007D29CB">
        <w:rPr>
          <w:rFonts w:ascii="Times New Roman" w:hAnsi="Times New Roman" w:cs="Times New Roman"/>
          <w:sz w:val="24"/>
          <w:szCs w:val="24"/>
        </w:rPr>
        <w:t xml:space="preserve"> the hearing or conference date.</w:t>
      </w:r>
    </w:p>
    <w:p w14:paraId="1887280D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4184907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Counsel who appears at the conference must have authority to bind the client and must know the facts.</w:t>
      </w:r>
    </w:p>
    <w:p w14:paraId="02B63DE8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4718EC7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 w:right="-90" w:hanging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Counsel must have discussed alternative dispute resolution with their clients and each other; at the conference, the court will consider whether a method of ADR </w:t>
      </w:r>
      <w:r w:rsidRPr="00817805">
        <w:rPr>
          <w:rFonts w:ascii="Times New Roman" w:hAnsi="Times New Roman" w:cs="Times New Roman"/>
          <w:sz w:val="24"/>
          <w:szCs w:val="24"/>
        </w:rPr>
        <w:t>is suited</w:t>
      </w:r>
      <w:r w:rsidRPr="007D29CB">
        <w:rPr>
          <w:rFonts w:ascii="Times New Roman" w:hAnsi="Times New Roman" w:cs="Times New Roman"/>
          <w:sz w:val="24"/>
          <w:szCs w:val="24"/>
        </w:rPr>
        <w:t xml:space="preserve"> to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9CB">
        <w:rPr>
          <w:rFonts w:ascii="Times New Roman" w:hAnsi="Times New Roman" w:cs="Times New Roman"/>
          <w:sz w:val="24"/>
          <w:szCs w:val="24"/>
        </w:rPr>
        <w:t xml:space="preserve"> case.</w:t>
      </w:r>
    </w:p>
    <w:p w14:paraId="337F2331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F75D070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The court will enter a scheduling order and may rule on any pending motions at the conference.</w:t>
      </w:r>
    </w:p>
    <w:p w14:paraId="55CA3705" w14:textId="77777777" w:rsidR="004F7223" w:rsidRPr="007D29CB" w:rsidRDefault="004F7223" w:rsidP="004F7223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49ADAEF4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434CC">
        <w:rPr>
          <w:rFonts w:ascii="Times New Roman" w:hAnsi="Times New Roman" w:cs="Times New Roman"/>
          <w:sz w:val="24"/>
          <w:szCs w:val="24"/>
        </w:rPr>
        <w:t>Plaintiff</w:t>
      </w:r>
      <w:r w:rsidRPr="007D29CB">
        <w:rPr>
          <w:rFonts w:ascii="Times New Roman" w:hAnsi="Times New Roman" w:cs="Times New Roman"/>
          <w:sz w:val="24"/>
          <w:szCs w:val="24"/>
        </w:rPr>
        <w:t>(s),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805">
        <w:rPr>
          <w:rFonts w:ascii="Times New Roman" w:hAnsi="Times New Roman" w:cs="Times New Roman"/>
          <w:sz w:val="24"/>
          <w:szCs w:val="24"/>
        </w:rPr>
        <w:t xml:space="preserve">alternatively, </w:t>
      </w:r>
      <w:r w:rsidRPr="007D29CB">
        <w:rPr>
          <w:rFonts w:ascii="Times New Roman" w:hAnsi="Times New Roman" w:cs="Times New Roman"/>
          <w:sz w:val="24"/>
          <w:szCs w:val="24"/>
        </w:rPr>
        <w:t xml:space="preserve">the party removing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29CB">
        <w:rPr>
          <w:rFonts w:ascii="Times New Roman" w:hAnsi="Times New Roman" w:cs="Times New Roman"/>
          <w:sz w:val="24"/>
          <w:szCs w:val="24"/>
        </w:rPr>
        <w:t xml:space="preserve"> suit from state court, </w:t>
      </w:r>
      <w:r w:rsidRPr="00E434CC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7D2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SERVE THE OPPOSING PARTY OR PARTIES </w:t>
      </w:r>
      <w:r w:rsidRPr="007D29CB">
        <w:rPr>
          <w:rFonts w:ascii="Times New Roman" w:hAnsi="Times New Roman" w:cs="Times New Roman"/>
          <w:sz w:val="24"/>
          <w:szCs w:val="24"/>
        </w:rPr>
        <w:t>with copies of:</w:t>
      </w:r>
    </w:p>
    <w:p w14:paraId="271DB550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17C67" w14:textId="77777777" w:rsidR="004F7223" w:rsidRPr="007D29CB" w:rsidRDefault="004F7223" w:rsidP="004F7223">
      <w:pPr>
        <w:pStyle w:val="NoSpacing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This ORDER FOR CONFERENCE,</w:t>
      </w:r>
    </w:p>
    <w:p w14:paraId="4ECE5A0D" w14:textId="77777777" w:rsidR="004F7223" w:rsidRPr="007D29CB" w:rsidRDefault="004F7223" w:rsidP="004F7223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14:paraId="5D618E5F" w14:textId="77777777" w:rsidR="004F7223" w:rsidRDefault="004F7223" w:rsidP="004F7223">
      <w:pPr>
        <w:pStyle w:val="NoSpacing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The form for the JOINT</w:t>
      </w:r>
      <w:r>
        <w:rPr>
          <w:rFonts w:ascii="Times New Roman" w:hAnsi="Times New Roman" w:cs="Times New Roman"/>
          <w:sz w:val="24"/>
          <w:szCs w:val="24"/>
        </w:rPr>
        <w:t xml:space="preserve"> DISCOVERY/CASE MANAGEMENT PLAN AS </w:t>
      </w:r>
      <w:r w:rsidRPr="002D1684">
        <w:rPr>
          <w:rFonts w:ascii="Times New Roman" w:hAnsi="Times New Roman" w:cs="Times New Roman"/>
          <w:sz w:val="24"/>
          <w:szCs w:val="24"/>
        </w:rPr>
        <w:t>REQUIRED BY RULE 26(f)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FB0B3" w14:textId="77777777" w:rsidR="004F7223" w:rsidRDefault="004F7223" w:rsidP="004F7223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14:paraId="434A82DE" w14:textId="77777777" w:rsidR="004F7223" w:rsidRPr="002D1684" w:rsidRDefault="004F7223" w:rsidP="004F7223">
      <w:pPr>
        <w:pStyle w:val="NoSpacing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 for the </w:t>
      </w:r>
      <w:r w:rsidRPr="00900CC6">
        <w:rPr>
          <w:rFonts w:ascii="Times New Roman" w:hAnsi="Times New Roman" w:cs="Times New Roman"/>
          <w:caps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caps/>
          <w:sz w:val="24"/>
          <w:szCs w:val="24"/>
        </w:rPr>
        <w:t xml:space="preserve">JOINT </w:t>
      </w:r>
      <w:r w:rsidRPr="00900CC6">
        <w:rPr>
          <w:rFonts w:ascii="Times New Roman" w:hAnsi="Times New Roman" w:cs="Times New Roman"/>
          <w:caps/>
          <w:sz w:val="24"/>
          <w:szCs w:val="24"/>
        </w:rPr>
        <w:t>Scheduling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B4F34" w14:textId="77777777" w:rsidR="004F7223" w:rsidRPr="007D29CB" w:rsidRDefault="004F7223" w:rsidP="004F7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A2C20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above documents</w:t>
      </w:r>
      <w:r w:rsidRPr="007D29CB">
        <w:rPr>
          <w:rFonts w:ascii="Times New Roman" w:hAnsi="Times New Roman" w:cs="Times New Roman"/>
          <w:sz w:val="24"/>
          <w:szCs w:val="24"/>
        </w:rPr>
        <w:t xml:space="preserve"> </w:t>
      </w:r>
      <w:r w:rsidRPr="00E434CC">
        <w:rPr>
          <w:rFonts w:ascii="Times New Roman" w:hAnsi="Times New Roman" w:cs="Times New Roman"/>
          <w:b/>
          <w:sz w:val="24"/>
          <w:szCs w:val="24"/>
          <w:u w:val="single"/>
        </w:rPr>
        <w:t>MUST BE SERVED</w:t>
      </w:r>
      <w:r w:rsidRPr="007D2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4CC">
        <w:rPr>
          <w:rFonts w:ascii="Times New Roman" w:hAnsi="Times New Roman" w:cs="Times New Roman"/>
          <w:b/>
          <w:sz w:val="24"/>
          <w:szCs w:val="24"/>
          <w:u w:val="single"/>
        </w:rPr>
        <w:t>ALONG WITH</w:t>
      </w:r>
      <w:r w:rsidRPr="007D2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SUMMONS AND COMPLAINT</w:t>
      </w:r>
      <w:r w:rsidRPr="007D29CB">
        <w:rPr>
          <w:rFonts w:ascii="Times New Roman" w:hAnsi="Times New Roman" w:cs="Times New Roman"/>
          <w:sz w:val="24"/>
          <w:szCs w:val="24"/>
        </w:rPr>
        <w:t>.</w:t>
      </w:r>
    </w:p>
    <w:p w14:paraId="2F2B7DE0" w14:textId="77777777" w:rsidR="004F7223" w:rsidRPr="007D29CB" w:rsidRDefault="004F7223" w:rsidP="004F722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288C155" w14:textId="77777777" w:rsidR="004F7223" w:rsidRPr="007D29CB" w:rsidRDefault="004F7223" w:rsidP="004F7223">
      <w:pPr>
        <w:pStyle w:val="NoSpacing"/>
        <w:numPr>
          <w:ilvl w:val="0"/>
          <w:numId w:val="1"/>
        </w:numPr>
        <w:ind w:left="540" w:right="-90" w:hanging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The parties will </w:t>
      </w:r>
      <w:r w:rsidRPr="00817805">
        <w:rPr>
          <w:rFonts w:ascii="Times New Roman" w:hAnsi="Times New Roman" w:cs="Times New Roman"/>
          <w:sz w:val="24"/>
          <w:szCs w:val="24"/>
        </w:rPr>
        <w:t>be bound</w:t>
      </w:r>
      <w:r w:rsidRPr="007D29CB">
        <w:rPr>
          <w:rFonts w:ascii="Times New Roman" w:hAnsi="Times New Roman" w:cs="Times New Roman"/>
          <w:sz w:val="24"/>
          <w:szCs w:val="24"/>
        </w:rPr>
        <w:t xml:space="preserve"> by the provisions in this ORDER, the </w:t>
      </w:r>
      <w:r>
        <w:rPr>
          <w:rFonts w:ascii="Times New Roman" w:hAnsi="Times New Roman" w:cs="Times New Roman"/>
          <w:sz w:val="24"/>
          <w:szCs w:val="24"/>
        </w:rPr>
        <w:t>documentation</w:t>
      </w:r>
      <w:r w:rsidRPr="007D29CB">
        <w:rPr>
          <w:rFonts w:ascii="Times New Roman" w:hAnsi="Times New Roman" w:cs="Times New Roman"/>
          <w:sz w:val="24"/>
          <w:szCs w:val="24"/>
        </w:rPr>
        <w:t xml:space="preserve"> mentioned above, and the dates set out in the scheduling order.</w:t>
      </w:r>
    </w:p>
    <w:p w14:paraId="436DB43E" w14:textId="77777777" w:rsidR="004F7223" w:rsidRPr="007D29CB" w:rsidRDefault="004F7223" w:rsidP="004F7223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62A88A9C" w14:textId="77777777" w:rsidR="004F7223" w:rsidRDefault="004F7223" w:rsidP="004F7223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Failure to comply with this </w:t>
      </w:r>
      <w:r>
        <w:rPr>
          <w:rFonts w:ascii="Times New Roman" w:hAnsi="Times New Roman" w:cs="Times New Roman"/>
          <w:sz w:val="24"/>
          <w:szCs w:val="24"/>
        </w:rPr>
        <w:t>ORDER</w:t>
      </w:r>
      <w:r w:rsidRPr="007D29CB">
        <w:rPr>
          <w:rFonts w:ascii="Times New Roman" w:hAnsi="Times New Roman" w:cs="Times New Roman"/>
          <w:sz w:val="24"/>
          <w:szCs w:val="24"/>
        </w:rPr>
        <w:t xml:space="preserve"> may result in sanctions, including dismissal of the action and assessment of expenses.</w:t>
      </w:r>
    </w:p>
    <w:p w14:paraId="76DA6593" w14:textId="77777777" w:rsidR="004F7223" w:rsidRDefault="004F7223" w:rsidP="004F72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77AF9D" w14:textId="77777777" w:rsidR="004F7223" w:rsidRPr="007D29CB" w:rsidRDefault="004F7223" w:rsidP="004F7223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78B5B7FC" w14:textId="1A021B08" w:rsidR="00674C9D" w:rsidRPr="004F7223" w:rsidRDefault="004F7223" w:rsidP="004F7223">
      <w:pPr>
        <w:pStyle w:val="NoSpacing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7D29CB">
        <w:rPr>
          <w:rFonts w:ascii="Times New Roman" w:hAnsi="Times New Roman" w:cs="Times New Roman"/>
          <w:caps/>
          <w:sz w:val="24"/>
          <w:szCs w:val="24"/>
        </w:rPr>
        <w:t>By the order of the Court</w:t>
      </w:r>
    </w:p>
    <w:sectPr w:rsidR="00674C9D" w:rsidRPr="004F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1711"/>
    <w:multiLevelType w:val="hybridMultilevel"/>
    <w:tmpl w:val="CD5AB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80DC0"/>
    <w:multiLevelType w:val="hybridMultilevel"/>
    <w:tmpl w:val="CC74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23"/>
    <w:rsid w:val="00123B3A"/>
    <w:rsid w:val="004F7223"/>
    <w:rsid w:val="006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5CBC"/>
  <w15:chartTrackingRefBased/>
  <w15:docId w15:val="{4E20EA65-7C7B-4866-8237-03A260DD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223"/>
    <w:pPr>
      <w:ind w:left="720"/>
      <w:contextualSpacing/>
    </w:pPr>
  </w:style>
  <w:style w:type="table" w:styleId="TableGrid">
    <w:name w:val="Table Grid"/>
    <w:basedOn w:val="TableNormal"/>
    <w:uiPriority w:val="59"/>
    <w:rsid w:val="004F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2022-10-06T15:02:00Z</dcterms:created>
  <dcterms:modified xsi:type="dcterms:W3CDTF">2022-10-06T15:04:00Z</dcterms:modified>
</cp:coreProperties>
</file>