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A6F70" w14:textId="77777777" w:rsidR="004F47B8" w:rsidRDefault="004F47B8" w:rsidP="004F47B8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</w:rPr>
      </w:pPr>
      <w:r>
        <w:rPr>
          <w:b/>
          <w:color w:val="000000"/>
        </w:rPr>
        <w:t>CASE HEADER</w:t>
      </w:r>
    </w:p>
    <w:p w14:paraId="19A1F322" w14:textId="77777777" w:rsidR="004F47B8" w:rsidRDefault="004F47B8" w:rsidP="004F47B8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</w:rPr>
      </w:pPr>
    </w:p>
    <w:p w14:paraId="74F911DA" w14:textId="77777777" w:rsidR="004F47B8" w:rsidRDefault="004F47B8" w:rsidP="004F47B8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</w:rPr>
      </w:pPr>
    </w:p>
    <w:p w14:paraId="26E378D3" w14:textId="1064B3D7" w:rsidR="004F47B8" w:rsidRPr="00375297" w:rsidRDefault="004F47B8" w:rsidP="004F47B8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  <w:u w:val="single"/>
        </w:rPr>
      </w:pPr>
      <w:bookmarkStart w:id="0" w:name="_Hlk532308135"/>
      <w:r w:rsidRPr="007B4C4B">
        <w:rPr>
          <w:b/>
          <w:color w:val="000000"/>
          <w:u w:val="single"/>
        </w:rPr>
        <w:t>ORDER GRANTING COMPLEX CASE</w:t>
      </w:r>
      <w:r w:rsidRPr="00375297">
        <w:rPr>
          <w:b/>
          <w:color w:val="000000"/>
          <w:u w:val="single"/>
        </w:rPr>
        <w:t xml:space="preserve"> TREATMENT</w:t>
      </w:r>
    </w:p>
    <w:p w14:paraId="7F9F06F9" w14:textId="77777777" w:rsidR="004F47B8" w:rsidRPr="00C24026" w:rsidRDefault="004F47B8" w:rsidP="004F47B8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</w:rPr>
      </w:pPr>
      <w:r w:rsidRPr="00C24026">
        <w:rPr>
          <w:b/>
          <w:color w:val="000000"/>
        </w:rPr>
        <w:t xml:space="preserve">(Docket No. </w:t>
      </w:r>
      <w:r>
        <w:rPr>
          <w:b/>
          <w:color w:val="000000"/>
        </w:rPr>
        <w:t>___</w:t>
      </w:r>
      <w:r w:rsidRPr="00C24026">
        <w:rPr>
          <w:b/>
          <w:color w:val="000000"/>
        </w:rPr>
        <w:t>)</w:t>
      </w:r>
    </w:p>
    <w:p w14:paraId="12DB73DF" w14:textId="77777777" w:rsidR="004F47B8" w:rsidRPr="00375297" w:rsidRDefault="004F47B8" w:rsidP="004F47B8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  <w:u w:val="single"/>
        </w:rPr>
      </w:pPr>
    </w:p>
    <w:p w14:paraId="07F8FDC5" w14:textId="3F062E50" w:rsidR="004F47B8" w:rsidRDefault="004F47B8" w:rsidP="004F47B8">
      <w:pPr>
        <w:ind w:firstLine="720"/>
        <w:jc w:val="both"/>
        <w:rPr>
          <w:rFonts w:ascii="Times New Roman" w:eastAsiaTheme="minorHAnsi" w:hAnsi="Times New Roman"/>
          <w:color w:val="000000"/>
        </w:rPr>
      </w:pPr>
      <w:r w:rsidRPr="00375297">
        <w:rPr>
          <w:rFonts w:ascii="Times New Roman" w:eastAsiaTheme="minorHAnsi" w:hAnsi="Times New Roman"/>
          <w:color w:val="000000"/>
        </w:rPr>
        <w:t>Th</w:t>
      </w:r>
      <w:r>
        <w:rPr>
          <w:rFonts w:ascii="Times New Roman" w:eastAsiaTheme="minorHAnsi" w:hAnsi="Times New Roman"/>
          <w:color w:val="000000"/>
        </w:rPr>
        <w:t>is case was</w:t>
      </w:r>
      <w:r w:rsidRPr="00375297">
        <w:rPr>
          <w:rFonts w:ascii="Times New Roman" w:eastAsiaTheme="minorHAnsi" w:hAnsi="Times New Roman"/>
          <w:color w:val="000000"/>
        </w:rPr>
        <w:t xml:space="preserve"> filed on </w:t>
      </w:r>
      <w:r>
        <w:rPr>
          <w:rFonts w:ascii="Times New Roman" w:eastAsiaTheme="minorHAnsi" w:hAnsi="Times New Roman"/>
          <w:color w:val="000000"/>
        </w:rPr>
        <w:t>_________, 20__</w:t>
      </w:r>
      <w:r w:rsidRPr="00375297">
        <w:rPr>
          <w:rFonts w:ascii="Times New Roman" w:eastAsiaTheme="minorHAnsi" w:hAnsi="Times New Roman"/>
          <w:color w:val="000000"/>
        </w:rPr>
        <w:t>.  A Notice of Designation</w:t>
      </w:r>
      <w:r w:rsidR="007B4C4B">
        <w:rPr>
          <w:rFonts w:ascii="Times New Roman" w:eastAsiaTheme="minorHAnsi" w:hAnsi="Times New Roman"/>
          <w:color w:val="000000"/>
        </w:rPr>
        <w:t xml:space="preserve"> </w:t>
      </w:r>
      <w:r w:rsidRPr="00375297">
        <w:rPr>
          <w:rFonts w:ascii="Times New Roman" w:eastAsiaTheme="minorHAnsi" w:hAnsi="Times New Roman"/>
          <w:color w:val="000000"/>
        </w:rPr>
        <w:t xml:space="preserve">as Complex Case was filed. </w:t>
      </w:r>
      <w:r>
        <w:rPr>
          <w:rFonts w:ascii="Times New Roman" w:eastAsiaTheme="minorHAnsi" w:hAnsi="Times New Roman"/>
          <w:color w:val="000000"/>
        </w:rPr>
        <w:t xml:space="preserve"> </w:t>
      </w:r>
      <w:r w:rsidRPr="00375297">
        <w:rPr>
          <w:rFonts w:ascii="Times New Roman" w:eastAsiaTheme="minorHAnsi" w:hAnsi="Times New Roman"/>
          <w:color w:val="000000"/>
        </w:rPr>
        <w:t>Based on its review of the initial pleadings, the Court concludes that the complex case designation is appropriate. Accordingly, the Court orders:</w:t>
      </w:r>
    </w:p>
    <w:p w14:paraId="762C142D" w14:textId="77777777" w:rsidR="004F47B8" w:rsidRDefault="004F47B8" w:rsidP="004F47B8">
      <w:pPr>
        <w:ind w:firstLine="720"/>
        <w:jc w:val="both"/>
        <w:rPr>
          <w:rFonts w:ascii="Times New Roman" w:eastAsiaTheme="minorHAnsi" w:hAnsi="Times New Roman"/>
          <w:color w:val="000000"/>
        </w:rPr>
      </w:pPr>
    </w:p>
    <w:p w14:paraId="140F0999" w14:textId="6B2B8EEC" w:rsidR="004F47B8" w:rsidRDefault="004F47B8" w:rsidP="004F47B8">
      <w:pPr>
        <w:pStyle w:val="ListParagraph"/>
        <w:numPr>
          <w:ilvl w:val="0"/>
          <w:numId w:val="1"/>
        </w:numPr>
        <w:ind w:left="0" w:firstLine="720"/>
        <w:jc w:val="both"/>
        <w:rPr>
          <w:rFonts w:eastAsiaTheme="minorHAnsi"/>
          <w:color w:val="000000"/>
        </w:rPr>
      </w:pPr>
      <w:r w:rsidRPr="00375297">
        <w:rPr>
          <w:rFonts w:eastAsiaTheme="minorHAnsi"/>
          <w:color w:val="000000"/>
        </w:rPr>
        <w:t xml:space="preserve">The </w:t>
      </w:r>
      <w:r>
        <w:rPr>
          <w:rFonts w:eastAsiaTheme="minorHAnsi"/>
          <w:color w:val="000000"/>
        </w:rPr>
        <w:t>Procedures for Complex Cases in the Southern District of Texas apply to this case.  The procedures are posted on the Court’s website.</w:t>
      </w:r>
      <w:r w:rsidRPr="00044277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Compliance with the procedures is required.</w:t>
      </w:r>
    </w:p>
    <w:p w14:paraId="1FEFE0D1" w14:textId="77777777" w:rsidR="004F47B8" w:rsidRDefault="004F47B8" w:rsidP="004F47B8">
      <w:pPr>
        <w:pStyle w:val="ListParagraph"/>
        <w:jc w:val="both"/>
        <w:rPr>
          <w:rFonts w:eastAsiaTheme="minorHAnsi"/>
          <w:color w:val="000000"/>
        </w:rPr>
      </w:pPr>
    </w:p>
    <w:p w14:paraId="5090682C" w14:textId="77777777" w:rsidR="004F47B8" w:rsidRPr="00375297" w:rsidRDefault="004F47B8" w:rsidP="004F47B8">
      <w:pPr>
        <w:pStyle w:val="ListParagraph"/>
        <w:numPr>
          <w:ilvl w:val="0"/>
          <w:numId w:val="1"/>
        </w:numPr>
        <w:ind w:left="0" w:firstLine="720"/>
        <w:jc w:val="both"/>
        <w:rPr>
          <w:rFonts w:eastAsiaTheme="minorHAnsi"/>
          <w:color w:val="000000"/>
        </w:rPr>
      </w:pPr>
      <w:r w:rsidRPr="00375297">
        <w:rPr>
          <w:rFonts w:eastAsiaTheme="minorHAnsi"/>
          <w:color w:val="000000"/>
        </w:rPr>
        <w:t xml:space="preserve">The Debtor must give notice of this </w:t>
      </w:r>
      <w:r>
        <w:rPr>
          <w:rFonts w:eastAsiaTheme="minorHAnsi"/>
          <w:color w:val="000000"/>
        </w:rPr>
        <w:t>O</w:t>
      </w:r>
      <w:r w:rsidRPr="00375297">
        <w:rPr>
          <w:rFonts w:eastAsiaTheme="minorHAnsi"/>
          <w:color w:val="000000"/>
        </w:rPr>
        <w:t>rder to all parties in interest within seven days. If a party</w:t>
      </w:r>
      <w:r>
        <w:rPr>
          <w:rFonts w:eastAsiaTheme="minorHAnsi"/>
          <w:color w:val="000000"/>
        </w:rPr>
        <w:t>-</w:t>
      </w:r>
      <w:r w:rsidRPr="00375297">
        <w:rPr>
          <w:rFonts w:eastAsiaTheme="minorHAnsi"/>
          <w:color w:val="000000"/>
        </w:rPr>
        <w:t>in</w:t>
      </w:r>
      <w:r>
        <w:rPr>
          <w:rFonts w:eastAsiaTheme="minorHAnsi"/>
          <w:color w:val="000000"/>
        </w:rPr>
        <w:t>-</w:t>
      </w:r>
      <w:r w:rsidRPr="00375297">
        <w:rPr>
          <w:rFonts w:eastAsiaTheme="minorHAnsi"/>
          <w:color w:val="000000"/>
        </w:rPr>
        <w:t xml:space="preserve">interest objects to the provisions of this </w:t>
      </w:r>
      <w:r>
        <w:rPr>
          <w:rFonts w:eastAsiaTheme="minorHAnsi"/>
          <w:color w:val="000000"/>
        </w:rPr>
        <w:t>O</w:t>
      </w:r>
      <w:r w:rsidRPr="00375297">
        <w:rPr>
          <w:rFonts w:eastAsiaTheme="minorHAnsi"/>
          <w:color w:val="000000"/>
        </w:rPr>
        <w:t>rder, that party may file a</w:t>
      </w:r>
      <w:r>
        <w:rPr>
          <w:rFonts w:eastAsiaTheme="minorHAnsi"/>
          <w:color w:val="000000"/>
        </w:rPr>
        <w:t xml:space="preserve">n appropriate </w:t>
      </w:r>
      <w:r w:rsidRPr="00375297">
        <w:rPr>
          <w:rFonts w:eastAsiaTheme="minorHAnsi"/>
          <w:color w:val="000000"/>
        </w:rPr>
        <w:t>motion</w:t>
      </w:r>
      <w:r>
        <w:rPr>
          <w:rFonts w:eastAsiaTheme="minorHAnsi"/>
          <w:color w:val="000000"/>
        </w:rPr>
        <w:t xml:space="preserve"> within 14 days after service of the Order.</w:t>
      </w:r>
      <w:r w:rsidRPr="00375297">
        <w:rPr>
          <w:rFonts w:eastAsiaTheme="minorHAnsi"/>
          <w:color w:val="000000"/>
        </w:rPr>
        <w:t xml:space="preserve"> </w:t>
      </w:r>
    </w:p>
    <w:bookmarkEnd w:id="0"/>
    <w:p w14:paraId="4EF94D4E" w14:textId="77777777" w:rsidR="004F47B8" w:rsidRDefault="004F47B8" w:rsidP="004F47B8">
      <w:pPr>
        <w:pStyle w:val="Style"/>
        <w:tabs>
          <w:tab w:val="left" w:pos="720"/>
          <w:tab w:val="left" w:leader="underscore" w:pos="5160"/>
        </w:tabs>
        <w:jc w:val="center"/>
      </w:pPr>
    </w:p>
    <w:p w14:paraId="4D1783B3" w14:textId="77777777" w:rsidR="004F47B8" w:rsidRDefault="004F47B8" w:rsidP="004F47B8">
      <w:pPr>
        <w:pStyle w:val="ListParagraph"/>
        <w:numPr>
          <w:ilvl w:val="0"/>
          <w:numId w:val="1"/>
        </w:numPr>
        <w:ind w:left="0" w:firstLine="72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The Bankruptcy Local Rules apply to this case, subject to the following modifications:</w:t>
      </w:r>
    </w:p>
    <w:p w14:paraId="1A24461E" w14:textId="77777777" w:rsidR="004F47B8" w:rsidRPr="000D510E" w:rsidRDefault="004F47B8" w:rsidP="004F47B8">
      <w:pPr>
        <w:pStyle w:val="ListParagraph"/>
        <w:rPr>
          <w:rFonts w:eastAsiaTheme="minorHAnsi"/>
          <w:color w:val="000000"/>
        </w:rPr>
      </w:pPr>
    </w:p>
    <w:p w14:paraId="7CA2A970" w14:textId="77777777" w:rsidR="004F47B8" w:rsidRDefault="004F47B8" w:rsidP="004F47B8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 w:rsidRPr="005C6A25">
        <w:rPr>
          <w:rFonts w:eastAsiaTheme="minorHAnsi"/>
          <w:color w:val="000000"/>
        </w:rPr>
        <w:t>Bankruptcy Local Rule 1001-</w:t>
      </w:r>
      <w:r>
        <w:rPr>
          <w:rFonts w:eastAsiaTheme="minorHAnsi"/>
          <w:color w:val="000000"/>
        </w:rPr>
        <w:t>1</w:t>
      </w:r>
      <w:r w:rsidRPr="005C6A25">
        <w:rPr>
          <w:rFonts w:eastAsiaTheme="minorHAnsi"/>
          <w:color w:val="000000"/>
        </w:rPr>
        <w:t>(b) does not apply.</w:t>
      </w:r>
    </w:p>
    <w:p w14:paraId="074B24E7" w14:textId="77777777" w:rsidR="004F47B8" w:rsidRPr="007A45DC" w:rsidRDefault="004F47B8" w:rsidP="004F47B8">
      <w:pPr>
        <w:jc w:val="both"/>
        <w:rPr>
          <w:rFonts w:eastAsiaTheme="minorHAnsi"/>
          <w:color w:val="000000"/>
        </w:rPr>
      </w:pPr>
    </w:p>
    <w:p w14:paraId="68D36518" w14:textId="77777777" w:rsidR="004F47B8" w:rsidRDefault="004F47B8" w:rsidP="004F47B8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Local District Court Civil Rule 83.1 applies.</w:t>
      </w:r>
    </w:p>
    <w:p w14:paraId="10DA25E2" w14:textId="77777777" w:rsidR="004F47B8" w:rsidRPr="000D510E" w:rsidRDefault="004F47B8" w:rsidP="004F47B8">
      <w:pPr>
        <w:pStyle w:val="ListParagraph"/>
        <w:rPr>
          <w:rFonts w:eastAsiaTheme="minorHAnsi"/>
          <w:color w:val="000000"/>
        </w:rPr>
      </w:pPr>
    </w:p>
    <w:p w14:paraId="1BEC129D" w14:textId="77777777" w:rsidR="004F47B8" w:rsidRDefault="004F47B8" w:rsidP="004F47B8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Appendix A to the Local Rules of the District Court applies.</w:t>
      </w:r>
    </w:p>
    <w:p w14:paraId="4A92DDC3" w14:textId="77777777" w:rsidR="004F47B8" w:rsidRPr="00044277" w:rsidRDefault="004F47B8" w:rsidP="004F47B8">
      <w:pPr>
        <w:pStyle w:val="ListParagraph"/>
        <w:rPr>
          <w:rFonts w:eastAsiaTheme="minorHAnsi"/>
          <w:color w:val="000000"/>
        </w:rPr>
      </w:pPr>
    </w:p>
    <w:p w14:paraId="7F525BAD" w14:textId="66D2E45E" w:rsidR="004F47B8" w:rsidRDefault="004F47B8" w:rsidP="004F47B8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If a conflict exists between the Bankruptcy Local Rules and t</w:t>
      </w:r>
      <w:r w:rsidRPr="00375297">
        <w:rPr>
          <w:rFonts w:eastAsiaTheme="minorHAnsi"/>
          <w:color w:val="000000"/>
        </w:rPr>
        <w:t xml:space="preserve">he </w:t>
      </w:r>
      <w:r>
        <w:rPr>
          <w:rFonts w:eastAsiaTheme="minorHAnsi"/>
          <w:color w:val="000000"/>
        </w:rPr>
        <w:t>Procedures for Complex Cases in the Southern District of Texas, the Procedures for Complex Cases in the Southern District of Texas govern.</w:t>
      </w:r>
    </w:p>
    <w:p w14:paraId="1593F3E3" w14:textId="77777777" w:rsidR="004F47B8" w:rsidRDefault="004F47B8" w:rsidP="004F47B8">
      <w:pPr>
        <w:pStyle w:val="Style"/>
        <w:tabs>
          <w:tab w:val="left" w:pos="720"/>
          <w:tab w:val="left" w:leader="underscore" w:pos="5160"/>
        </w:tabs>
        <w:jc w:val="center"/>
      </w:pPr>
    </w:p>
    <w:p w14:paraId="67FFFEA4" w14:textId="77777777" w:rsidR="004F47B8" w:rsidRDefault="004F47B8" w:rsidP="004F47B8"/>
    <w:p w14:paraId="62D8B5BD" w14:textId="77777777" w:rsidR="00E43224" w:rsidRDefault="00E43224"/>
    <w:sectPr w:rsidR="00E43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73F8A"/>
    <w:multiLevelType w:val="hybridMultilevel"/>
    <w:tmpl w:val="C448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B8"/>
    <w:rsid w:val="004F47B8"/>
    <w:rsid w:val="007B4C4B"/>
    <w:rsid w:val="00E4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3D7F"/>
  <w15:chartTrackingRefBased/>
  <w15:docId w15:val="{12AAAAED-4664-4162-A605-E80A990B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4F47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F47B8"/>
    <w:pPr>
      <w:autoSpaceDE/>
      <w:autoSpaceDN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dc:description/>
  <cp:lastModifiedBy>David Jones</cp:lastModifiedBy>
  <cp:revision>2</cp:revision>
  <dcterms:created xsi:type="dcterms:W3CDTF">2020-10-19T21:14:00Z</dcterms:created>
  <dcterms:modified xsi:type="dcterms:W3CDTF">2020-10-19T21:14:00Z</dcterms:modified>
</cp:coreProperties>
</file>