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A353A" w14:textId="77777777" w:rsidR="00042282" w:rsidRPr="00EC7C78" w:rsidRDefault="00042282" w:rsidP="00042282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760"/>
          <w:tab w:val="left" w:pos="6480"/>
          <w:tab w:val="left" w:pos="7200"/>
          <w:tab w:val="left" w:pos="8278"/>
          <w:tab w:val="left" w:pos="8653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right="90"/>
        <w:contextualSpacing/>
        <w:jc w:val="both"/>
        <w:rPr>
          <w:rFonts w:ascii="Georgia" w:hAnsi="Georgia" w:cs="CG Times"/>
          <w:b/>
          <w:bCs/>
          <w:smallCaps/>
        </w:rPr>
      </w:pPr>
      <w:r w:rsidRPr="009F62D4">
        <w:rPr>
          <w:rFonts w:ascii="Georgia" w:hAnsi="Georg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2EE0FE92" wp14:editId="0892FBDD">
                <wp:simplePos x="0" y="0"/>
                <wp:positionH relativeFrom="page">
                  <wp:posOffset>685800</wp:posOffset>
                </wp:positionH>
                <wp:positionV relativeFrom="page">
                  <wp:posOffset>935157</wp:posOffset>
                </wp:positionV>
                <wp:extent cx="6398895" cy="0"/>
                <wp:effectExtent l="0" t="19050" r="1905" b="190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8895" cy="0"/>
                        </a:xfrm>
                        <a:prstGeom prst="line">
                          <a:avLst/>
                        </a:prstGeom>
                        <a:noFill/>
                        <a:ln w="36576" cmpd="dbl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B8630" id="Straight Connector 2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3.65pt" to="557.85pt,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" o:allowincell="f" strokecolor="#020000" strokeweight="2.88pt">
                <v:stroke linestyle="thinThin"/>
                <w10:wrap anchorx="page" anchory="page"/>
              </v:line>
            </w:pict>
          </mc:Fallback>
        </mc:AlternateContent>
      </w:r>
    </w:p>
    <w:p w14:paraId="5728C83D" w14:textId="77777777" w:rsidR="0067478A" w:rsidRDefault="0067478A" w:rsidP="00042282">
      <w:pPr>
        <w:numPr>
          <w:ilvl w:val="12"/>
          <w:numId w:val="0"/>
        </w:numPr>
        <w:tabs>
          <w:tab w:val="left" w:pos="-1080"/>
          <w:tab w:val="left" w:pos="-720"/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8278"/>
          <w:tab w:val="left" w:pos="8653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-360" w:right="-360"/>
        <w:contextualSpacing/>
        <w:jc w:val="both"/>
        <w:rPr>
          <w:rFonts w:ascii="Georgia" w:hAnsi="Georgia" w:cs="CG Times"/>
          <w:b/>
          <w:bCs/>
          <w:smallCaps/>
        </w:rPr>
      </w:pPr>
    </w:p>
    <w:p w14:paraId="5296A1A7" w14:textId="77777777" w:rsidR="00042282" w:rsidRPr="00EC7C78" w:rsidRDefault="00042282" w:rsidP="00042282">
      <w:pPr>
        <w:numPr>
          <w:ilvl w:val="12"/>
          <w:numId w:val="0"/>
        </w:numPr>
        <w:tabs>
          <w:tab w:val="left" w:pos="-1080"/>
          <w:tab w:val="left" w:pos="-720"/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8278"/>
          <w:tab w:val="left" w:pos="8653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-360" w:right="-360"/>
        <w:contextualSpacing/>
        <w:jc w:val="both"/>
        <w:rPr>
          <w:rFonts w:ascii="Georgia" w:hAnsi="Georgia" w:cs="CG Times"/>
          <w:b/>
          <w:bCs/>
          <w:smallCaps/>
        </w:rPr>
      </w:pPr>
      <w:r w:rsidRPr="00EC7C78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09D4F214" wp14:editId="4957A3DC">
                <wp:simplePos x="0" y="0"/>
                <wp:positionH relativeFrom="margin">
                  <wp:posOffset>0</wp:posOffset>
                </wp:positionH>
                <wp:positionV relativeFrom="paragraph">
                  <wp:posOffset>279400</wp:posOffset>
                </wp:positionV>
                <wp:extent cx="0" cy="0"/>
                <wp:effectExtent l="9525" t="12700" r="9525" b="63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A3878" id="Straight Connector 2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2pt" to="0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" o:allowincell="f" strokecolor="#020000" strokeweight=".96pt">
                <w10:wrap anchorx="margin"/>
              </v:line>
            </w:pict>
          </mc:Fallback>
        </mc:AlternateContent>
      </w:r>
      <w:r w:rsidRPr="00EC7C78">
        <w:rPr>
          <w:rFonts w:ascii="Georgia" w:hAnsi="Georgia" w:cs="CG Times"/>
          <w:b/>
          <w:bCs/>
          <w:smallCaps/>
        </w:rPr>
        <w:t>United States District Court</w:t>
      </w:r>
      <w:r w:rsidRPr="00EC7C78">
        <w:rPr>
          <w:rFonts w:ascii="Georgia" w:hAnsi="Georgia" w:cs="CG Times"/>
          <w:b/>
          <w:bCs/>
          <w:smallCaps/>
        </w:rPr>
        <w:tab/>
      </w:r>
      <w:r w:rsidRPr="00EC7C78">
        <w:rPr>
          <w:rFonts w:ascii="Georgia" w:hAnsi="Georgia" w:cs="CG Times"/>
          <w:b/>
          <w:bCs/>
          <w:smallCaps/>
        </w:rPr>
        <w:tab/>
      </w:r>
      <w:r w:rsidRPr="00EC7C78">
        <w:rPr>
          <w:rFonts w:ascii="MS Mincho" w:eastAsia="MS Mincho" w:hAnsi="MS Mincho" w:cs="MS Mincho" w:hint="eastAsia"/>
          <w:smallCaps/>
        </w:rPr>
        <w:t>☆</w:t>
      </w:r>
      <w:r w:rsidRPr="00EC7C78">
        <w:rPr>
          <w:rFonts w:ascii="Georgia" w:hAnsi="Georgia" w:cs="CG Times"/>
          <w:b/>
          <w:bCs/>
          <w:smallCaps/>
        </w:rPr>
        <w:tab/>
        <w:t>Southern District of Texas</w:t>
      </w:r>
    </w:p>
    <w:p w14:paraId="77C4672B" w14:textId="77777777" w:rsidR="00042282" w:rsidRPr="00EC7C78" w:rsidRDefault="00042282" w:rsidP="00042282">
      <w:pPr>
        <w:numPr>
          <w:ilvl w:val="12"/>
          <w:numId w:val="0"/>
        </w:numPr>
        <w:tabs>
          <w:tab w:val="left" w:pos="-1080"/>
          <w:tab w:val="left" w:pos="-720"/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8278"/>
          <w:tab w:val="left" w:pos="8653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-360" w:right="-360"/>
        <w:contextualSpacing/>
        <w:jc w:val="both"/>
        <w:rPr>
          <w:rFonts w:ascii="Georgia" w:hAnsi="Georgia" w:cs="CG Times"/>
          <w:b/>
          <w:bCs/>
          <w:smallCaps/>
        </w:rPr>
      </w:pPr>
      <w:r w:rsidRPr="00EC7C78">
        <w:rPr>
          <w:rFonts w:ascii="Georgia" w:hAnsi="Georgia" w:cs="CG Times"/>
          <w:b/>
          <w:bCs/>
          <w:smallCaps/>
        </w:rPr>
        <w:tab/>
      </w:r>
      <w:r w:rsidRPr="00EC7C78">
        <w:rPr>
          <w:rFonts w:ascii="Georgia" w:hAnsi="Georgia" w:cs="CG Times"/>
          <w:b/>
          <w:bCs/>
          <w:smallCaps/>
        </w:rPr>
        <w:tab/>
      </w:r>
      <w:r w:rsidRPr="00EC7C78">
        <w:rPr>
          <w:rFonts w:ascii="Georgia" w:hAnsi="Georgia" w:cs="CG Times"/>
          <w:b/>
          <w:bCs/>
          <w:smallCaps/>
        </w:rPr>
        <w:tab/>
      </w:r>
      <w:r w:rsidRPr="00EC7C78">
        <w:rPr>
          <w:rFonts w:ascii="Georgia" w:hAnsi="Georgia" w:cs="CG Times"/>
          <w:b/>
          <w:bCs/>
          <w:smallCaps/>
        </w:rPr>
        <w:tab/>
      </w:r>
      <w:r w:rsidRPr="00EC7C78">
        <w:rPr>
          <w:rFonts w:ascii="Georgia" w:hAnsi="Georgia" w:cs="CG Times"/>
          <w:b/>
          <w:bCs/>
          <w:smallCaps/>
        </w:rPr>
        <w:tab/>
      </w:r>
      <w:r w:rsidRPr="00EC7C78">
        <w:rPr>
          <w:rFonts w:ascii="Georgia" w:hAnsi="Georgia" w:cs="CG Times"/>
          <w:b/>
          <w:bCs/>
          <w:smallCaps/>
        </w:rPr>
        <w:tab/>
      </w:r>
      <w:r w:rsidRPr="00EC7C78">
        <w:rPr>
          <w:rFonts w:ascii="Georgia" w:hAnsi="Georgia" w:cs="CG Times"/>
          <w:b/>
          <w:bCs/>
          <w:smallCaps/>
        </w:rPr>
        <w:tab/>
      </w:r>
      <w:r w:rsidRPr="00EC7C78">
        <w:rPr>
          <w:rFonts w:ascii="Georgia" w:hAnsi="Georgia" w:cs="CG Times"/>
          <w:b/>
          <w:bCs/>
          <w:smallCaps/>
        </w:rPr>
        <w:tab/>
        <w:t>Brownsville Division</w:t>
      </w:r>
    </w:p>
    <w:p w14:paraId="44B6E537" w14:textId="15C1B4CC" w:rsidR="00042282" w:rsidRPr="00EC7C78" w:rsidRDefault="00042282" w:rsidP="00042282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8278"/>
          <w:tab w:val="left" w:pos="8653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right="90"/>
        <w:contextualSpacing/>
        <w:rPr>
          <w:rFonts w:ascii="Georgia" w:hAnsi="Georgia" w:cs="CG Times"/>
          <w:b/>
          <w:bCs/>
          <w:smallCaps/>
        </w:rPr>
      </w:pPr>
      <w:r w:rsidRPr="00EC7C78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42360A69" wp14:editId="2E3A2FA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04126" id="Straight Connector 2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" o:allowincell="f" strokecolor="#020000" strokeweight=".96pt">
                <w10:wrap anchorx="margin"/>
              </v:line>
            </w:pict>
          </mc:Fallback>
        </mc:AlternateContent>
      </w:r>
      <w:r w:rsidRPr="00EC7C78">
        <w:rPr>
          <w:rFonts w:ascii="Georgia" w:hAnsi="Georgia"/>
          <w:lang w:val="en-CA"/>
        </w:rPr>
        <w:fldChar w:fldCharType="begin"/>
      </w:r>
      <w:r w:rsidRPr="00EC7C78">
        <w:rPr>
          <w:rFonts w:ascii="Georgia" w:hAnsi="Georgia"/>
          <w:lang w:val="en-CA"/>
        </w:rPr>
        <w:instrText xml:space="preserve"> SEQ CHAPTER \h \r 1</w:instrText>
      </w:r>
      <w:r w:rsidRPr="00EC7C78">
        <w:rPr>
          <w:rFonts w:ascii="Georgia" w:hAnsi="Georgia"/>
          <w:lang w:val="en-CA"/>
        </w:rPr>
        <w:fldChar w:fldCharType="end"/>
      </w:r>
    </w:p>
    <w:p w14:paraId="37844DEA" w14:textId="77777777" w:rsidR="00042282" w:rsidRPr="00EC7C78" w:rsidRDefault="00042282" w:rsidP="00042282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78"/>
          <w:tab w:val="left" w:pos="8653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right="90"/>
        <w:contextualSpacing/>
        <w:jc w:val="center"/>
        <w:rPr>
          <w:rFonts w:ascii="Georgia" w:hAnsi="Georgia"/>
          <w:lang w:val="en-CA"/>
        </w:rPr>
      </w:pPr>
      <w:r w:rsidRPr="00EC7C78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09437E94" wp14:editId="7D5BA3DE">
                <wp:simplePos x="0" y="0"/>
                <wp:positionH relativeFrom="page">
                  <wp:posOffset>685504</wp:posOffset>
                </wp:positionH>
                <wp:positionV relativeFrom="page">
                  <wp:posOffset>1768002</wp:posOffset>
                </wp:positionV>
                <wp:extent cx="6409690" cy="0"/>
                <wp:effectExtent l="0" t="19050" r="10160" b="190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9690" cy="0"/>
                        </a:xfrm>
                        <a:prstGeom prst="line">
                          <a:avLst/>
                        </a:prstGeom>
                        <a:noFill/>
                        <a:ln w="36576" cmpd="dbl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ACA30" id="Straight Connector 2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39.2pt" to="558.7pt,1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" o:allowincell="f" strokecolor="#020000" strokeweight="2.88pt">
                <v:stroke linestyle="thinThin"/>
                <w10:wrap anchorx="page" anchory="page"/>
              </v:line>
            </w:pict>
          </mc:Fallback>
        </mc:AlternateContent>
      </w:r>
    </w:p>
    <w:p w14:paraId="69ADE92A" w14:textId="77777777" w:rsidR="00042282" w:rsidRDefault="0060738E" w:rsidP="0060738E">
      <w:pPr>
        <w:spacing w:line="240" w:lineRule="auto"/>
        <w:contextualSpacing/>
        <w:rPr>
          <w:rFonts w:ascii="Georgia" w:hAnsi="Georgia" w:cs="CG Times"/>
          <w:b/>
          <w:bCs/>
        </w:rPr>
      </w:pPr>
      <w:r w:rsidRPr="009F62D4">
        <w:rPr>
          <w:rFonts w:ascii="Georgia" w:hAnsi="Georgia" w:cs="CG Times"/>
          <w:b/>
          <w:bCs/>
        </w:rPr>
        <w:tab/>
      </w:r>
      <w:r w:rsidRPr="009F62D4">
        <w:rPr>
          <w:rFonts w:ascii="Georgia" w:hAnsi="Georgia" w:cs="CG Times"/>
          <w:b/>
          <w:bCs/>
        </w:rPr>
        <w:tab/>
      </w:r>
      <w:r w:rsidRPr="009F62D4">
        <w:rPr>
          <w:rFonts w:ascii="Georgia" w:hAnsi="Georgia" w:cs="CG Times"/>
          <w:b/>
          <w:bCs/>
        </w:rPr>
        <w:tab/>
      </w:r>
      <w:r w:rsidRPr="009F62D4">
        <w:rPr>
          <w:rFonts w:ascii="Georgia" w:hAnsi="Georgia" w:cs="CG Times"/>
          <w:b/>
          <w:bCs/>
        </w:rPr>
        <w:tab/>
      </w:r>
      <w:r w:rsidRPr="009F62D4">
        <w:rPr>
          <w:rFonts w:ascii="Georgia" w:hAnsi="Georgia" w:cs="CG Times"/>
          <w:b/>
          <w:bCs/>
        </w:rPr>
        <w:tab/>
      </w:r>
    </w:p>
    <w:p w14:paraId="4FD6E452" w14:textId="77777777" w:rsidR="0060738E" w:rsidRPr="009F62D4" w:rsidRDefault="0060738E" w:rsidP="00042282">
      <w:pPr>
        <w:spacing w:line="240" w:lineRule="auto"/>
        <w:contextualSpacing/>
        <w:rPr>
          <w:rFonts w:ascii="Georgia" w:hAnsi="Georgia" w:cs="CG Times"/>
        </w:rPr>
      </w:pPr>
      <w:r w:rsidRPr="009F62D4">
        <w:rPr>
          <w:rFonts w:ascii="Georgia" w:hAnsi="Georgia" w:cs="CG Times"/>
          <w:b/>
          <w:bCs/>
        </w:rPr>
        <w:tab/>
      </w:r>
      <w:r w:rsidRPr="009F62D4">
        <w:rPr>
          <w:rFonts w:ascii="Georgia" w:hAnsi="Georgia" w:cs="CG Times"/>
          <w:b/>
          <w:bCs/>
        </w:rPr>
        <w:tab/>
      </w:r>
      <w:r w:rsidRPr="009F62D4">
        <w:rPr>
          <w:rFonts w:ascii="Georgia" w:hAnsi="Georgia" w:cs="CG Times"/>
          <w:b/>
          <w:bCs/>
        </w:rPr>
        <w:tab/>
      </w:r>
      <w:r w:rsidRPr="009F62D4">
        <w:rPr>
          <w:rFonts w:ascii="Georgia" w:hAnsi="Georgia" w:cs="CG Times"/>
          <w:b/>
          <w:bCs/>
          <w:u w:val="single"/>
        </w:rPr>
        <w:t xml:space="preserve">Order Setting </w:t>
      </w:r>
      <w:r w:rsidR="00DC1F11" w:rsidRPr="009F62D4">
        <w:rPr>
          <w:rFonts w:ascii="Georgia" w:hAnsi="Georgia" w:cs="CG Times"/>
          <w:b/>
          <w:bCs/>
          <w:u w:val="single"/>
        </w:rPr>
        <w:t xml:space="preserve">Initial Pretrial </w:t>
      </w:r>
      <w:r w:rsidRPr="009F62D4">
        <w:rPr>
          <w:rFonts w:ascii="Georgia" w:hAnsi="Georgia" w:cs="CG Times"/>
          <w:b/>
          <w:bCs/>
          <w:u w:val="single"/>
        </w:rPr>
        <w:t>Conference</w:t>
      </w:r>
    </w:p>
    <w:p w14:paraId="0202057E" w14:textId="77777777" w:rsidR="0060738E" w:rsidRDefault="0060738E" w:rsidP="0060738E">
      <w:pPr>
        <w:spacing w:line="240" w:lineRule="auto"/>
        <w:contextualSpacing/>
        <w:rPr>
          <w:rFonts w:ascii="Georgia" w:hAnsi="Georgia" w:cs="Times"/>
        </w:rPr>
      </w:pPr>
    </w:p>
    <w:p w14:paraId="2299753D" w14:textId="77777777" w:rsidR="00042282" w:rsidRPr="00042282" w:rsidRDefault="0060738E" w:rsidP="00042282">
      <w:pPr>
        <w:pStyle w:val="Level1"/>
        <w:numPr>
          <w:ilvl w:val="0"/>
          <w:numId w:val="3"/>
        </w:numPr>
        <w:ind w:left="360" w:hanging="720"/>
        <w:contextualSpacing/>
        <w:jc w:val="both"/>
        <w:rPr>
          <w:rFonts w:ascii="Georgia" w:hAnsi="Georgia" w:cs="Times"/>
          <w:sz w:val="22"/>
          <w:szCs w:val="22"/>
        </w:rPr>
      </w:pPr>
      <w:r w:rsidRPr="009F62D4">
        <w:rPr>
          <w:rFonts w:ascii="Georgia" w:hAnsi="Georgia" w:cs="Times"/>
          <w:sz w:val="22"/>
          <w:szCs w:val="22"/>
        </w:rPr>
        <w:t xml:space="preserve">Counsel shall appear for an </w:t>
      </w:r>
      <w:r w:rsidR="00DC1F11" w:rsidRPr="009F62D4">
        <w:rPr>
          <w:rFonts w:ascii="Georgia" w:hAnsi="Georgia" w:cs="Times"/>
          <w:sz w:val="22"/>
          <w:szCs w:val="22"/>
        </w:rPr>
        <w:t>I</w:t>
      </w:r>
      <w:r w:rsidRPr="009F62D4">
        <w:rPr>
          <w:rFonts w:ascii="Georgia" w:hAnsi="Georgia" w:cs="Times"/>
          <w:sz w:val="22"/>
          <w:szCs w:val="22"/>
        </w:rPr>
        <w:t xml:space="preserve">nitial </w:t>
      </w:r>
      <w:r w:rsidR="00DC1F11" w:rsidRPr="009F62D4">
        <w:rPr>
          <w:rFonts w:ascii="Georgia" w:hAnsi="Georgia" w:cs="Times"/>
          <w:sz w:val="22"/>
          <w:szCs w:val="22"/>
        </w:rPr>
        <w:t>P</w:t>
      </w:r>
      <w:r w:rsidRPr="009F62D4">
        <w:rPr>
          <w:rFonts w:ascii="Georgia" w:hAnsi="Georgia" w:cs="Times"/>
          <w:sz w:val="22"/>
          <w:szCs w:val="22"/>
        </w:rPr>
        <w:t xml:space="preserve">retrial </w:t>
      </w:r>
      <w:r w:rsidR="00DC1F11" w:rsidRPr="009F62D4">
        <w:rPr>
          <w:rFonts w:ascii="Georgia" w:hAnsi="Georgia" w:cs="Times"/>
          <w:sz w:val="22"/>
          <w:szCs w:val="22"/>
        </w:rPr>
        <w:t>C</w:t>
      </w:r>
      <w:r w:rsidRPr="009F62D4">
        <w:rPr>
          <w:rFonts w:ascii="Georgia" w:hAnsi="Georgia" w:cs="Times"/>
          <w:sz w:val="22"/>
          <w:szCs w:val="22"/>
        </w:rPr>
        <w:t>onference:</w:t>
      </w:r>
    </w:p>
    <w:p w14:paraId="74335D0E" w14:textId="77777777" w:rsidR="00042282" w:rsidRPr="009F62D4" w:rsidRDefault="00042282" w:rsidP="0060738E">
      <w:pPr>
        <w:numPr>
          <w:ilvl w:val="12"/>
          <w:numId w:val="0"/>
        </w:numPr>
        <w:spacing w:line="240" w:lineRule="auto"/>
        <w:ind w:left="360"/>
        <w:contextualSpacing/>
        <w:jc w:val="both"/>
        <w:rPr>
          <w:rFonts w:ascii="Georgia" w:hAnsi="Georgia" w:cs="Times"/>
        </w:rPr>
      </w:pPr>
    </w:p>
    <w:p w14:paraId="7185E642" w14:textId="63DFB913" w:rsidR="0060738E" w:rsidRPr="009F62D4" w:rsidRDefault="0060738E" w:rsidP="0060738E">
      <w:pPr>
        <w:numPr>
          <w:ilvl w:val="12"/>
          <w:numId w:val="0"/>
        </w:numPr>
        <w:spacing w:line="240" w:lineRule="auto"/>
        <w:ind w:left="360"/>
        <w:contextualSpacing/>
        <w:jc w:val="center"/>
        <w:rPr>
          <w:rFonts w:ascii="Georgia" w:hAnsi="Georgia" w:cs="Times"/>
          <w:u w:val="single"/>
        </w:rPr>
      </w:pPr>
      <w:r w:rsidRPr="009F62D4">
        <w:rPr>
          <w:rFonts w:ascii="Georgia" w:hAnsi="Georgia" w:cs="Times"/>
          <w:b/>
          <w:bCs/>
        </w:rPr>
        <w:t>_______________, 20___, at ______ __</w:t>
      </w:r>
      <w:proofErr w:type="gramStart"/>
      <w:r w:rsidRPr="009F62D4">
        <w:rPr>
          <w:rFonts w:ascii="Georgia" w:hAnsi="Georgia" w:cs="Times"/>
          <w:b/>
          <w:bCs/>
        </w:rPr>
        <w:t>_.m.</w:t>
      </w:r>
      <w:proofErr w:type="gramEnd"/>
    </w:p>
    <w:p w14:paraId="38DF5BB3" w14:textId="77777777" w:rsidR="0060738E" w:rsidRPr="009F62D4" w:rsidRDefault="0060738E" w:rsidP="0060738E">
      <w:pPr>
        <w:numPr>
          <w:ilvl w:val="12"/>
          <w:numId w:val="0"/>
        </w:numPr>
        <w:spacing w:line="240" w:lineRule="auto"/>
        <w:ind w:left="360"/>
        <w:contextualSpacing/>
        <w:jc w:val="center"/>
        <w:rPr>
          <w:rFonts w:ascii="Georgia" w:hAnsi="Georgia" w:cs="Times"/>
        </w:rPr>
      </w:pPr>
      <w:r w:rsidRPr="009F62D4">
        <w:rPr>
          <w:rFonts w:ascii="Georgia" w:hAnsi="Georgia" w:cs="Times"/>
        </w:rPr>
        <w:t>Before the Honorable Fernando Rodriguez, Jr.</w:t>
      </w:r>
    </w:p>
    <w:p w14:paraId="6BCDC741" w14:textId="77777777" w:rsidR="0060738E" w:rsidRPr="009F62D4" w:rsidRDefault="0060738E" w:rsidP="0060738E">
      <w:pPr>
        <w:numPr>
          <w:ilvl w:val="12"/>
          <w:numId w:val="0"/>
        </w:numPr>
        <w:spacing w:line="240" w:lineRule="auto"/>
        <w:ind w:left="360"/>
        <w:contextualSpacing/>
        <w:jc w:val="center"/>
        <w:rPr>
          <w:rFonts w:ascii="Georgia" w:hAnsi="Georgia" w:cs="Times"/>
        </w:rPr>
      </w:pPr>
      <w:r w:rsidRPr="009F62D4">
        <w:rPr>
          <w:rFonts w:ascii="Georgia" w:hAnsi="Georgia" w:cs="Times"/>
        </w:rPr>
        <w:t>United States District Judge</w:t>
      </w:r>
    </w:p>
    <w:p w14:paraId="5061F1A9" w14:textId="77777777" w:rsidR="0060738E" w:rsidRPr="009F62D4" w:rsidRDefault="0060738E" w:rsidP="0060738E">
      <w:pPr>
        <w:numPr>
          <w:ilvl w:val="12"/>
          <w:numId w:val="0"/>
        </w:numPr>
        <w:spacing w:line="240" w:lineRule="auto"/>
        <w:ind w:left="360"/>
        <w:contextualSpacing/>
        <w:jc w:val="center"/>
        <w:rPr>
          <w:rFonts w:ascii="Georgia" w:hAnsi="Georgia" w:cs="Times"/>
        </w:rPr>
      </w:pPr>
      <w:r w:rsidRPr="009F62D4">
        <w:rPr>
          <w:rFonts w:ascii="Georgia" w:hAnsi="Georgia" w:cs="Times"/>
        </w:rPr>
        <w:t>Third Floor-Courtroom No. 6</w:t>
      </w:r>
    </w:p>
    <w:p w14:paraId="5880D3B5" w14:textId="77777777" w:rsidR="0060738E" w:rsidRPr="009F62D4" w:rsidRDefault="0060738E" w:rsidP="0060738E">
      <w:pPr>
        <w:numPr>
          <w:ilvl w:val="12"/>
          <w:numId w:val="0"/>
        </w:numPr>
        <w:spacing w:line="240" w:lineRule="auto"/>
        <w:ind w:left="360"/>
        <w:contextualSpacing/>
        <w:jc w:val="center"/>
        <w:rPr>
          <w:rFonts w:ascii="Georgia" w:hAnsi="Georgia" w:cs="Times"/>
        </w:rPr>
      </w:pPr>
      <w:r w:rsidRPr="009F62D4">
        <w:rPr>
          <w:rFonts w:ascii="Georgia" w:hAnsi="Georgia" w:cs="Times"/>
        </w:rPr>
        <w:t>United States Courthouse</w:t>
      </w:r>
    </w:p>
    <w:p w14:paraId="6146B57F" w14:textId="77777777" w:rsidR="0060738E" w:rsidRPr="009F62D4" w:rsidRDefault="0060738E" w:rsidP="0060738E">
      <w:pPr>
        <w:numPr>
          <w:ilvl w:val="12"/>
          <w:numId w:val="0"/>
        </w:numPr>
        <w:spacing w:line="240" w:lineRule="auto"/>
        <w:ind w:left="360"/>
        <w:contextualSpacing/>
        <w:jc w:val="center"/>
        <w:rPr>
          <w:rFonts w:ascii="Georgia" w:hAnsi="Georgia" w:cs="Times"/>
        </w:rPr>
      </w:pPr>
      <w:r w:rsidRPr="009F62D4">
        <w:rPr>
          <w:rFonts w:ascii="Georgia" w:hAnsi="Georgia" w:cs="Times"/>
        </w:rPr>
        <w:t>600 E. Harrison Street, #301</w:t>
      </w:r>
    </w:p>
    <w:p w14:paraId="70ADB4CE" w14:textId="77777777" w:rsidR="00042282" w:rsidRDefault="0060738E" w:rsidP="009B40D8">
      <w:pPr>
        <w:numPr>
          <w:ilvl w:val="12"/>
          <w:numId w:val="0"/>
        </w:numPr>
        <w:spacing w:line="240" w:lineRule="auto"/>
        <w:ind w:left="360"/>
        <w:contextualSpacing/>
        <w:jc w:val="center"/>
        <w:rPr>
          <w:rFonts w:ascii="Georgia" w:hAnsi="Georgia" w:cs="Times"/>
        </w:rPr>
      </w:pPr>
      <w:r w:rsidRPr="009F62D4">
        <w:rPr>
          <w:rFonts w:ascii="Georgia" w:hAnsi="Georgia" w:cs="Times"/>
        </w:rPr>
        <w:t>Brownsville, TX 78520</w:t>
      </w:r>
    </w:p>
    <w:p w14:paraId="52FE43B6" w14:textId="77777777" w:rsidR="00042282" w:rsidRPr="009F62D4" w:rsidRDefault="00042282" w:rsidP="009B40D8">
      <w:pPr>
        <w:numPr>
          <w:ilvl w:val="12"/>
          <w:numId w:val="0"/>
        </w:numPr>
        <w:spacing w:line="240" w:lineRule="auto"/>
        <w:ind w:left="360"/>
        <w:contextualSpacing/>
        <w:jc w:val="center"/>
        <w:rPr>
          <w:rFonts w:ascii="Georgia" w:hAnsi="Georgia" w:cs="Times"/>
        </w:rPr>
      </w:pPr>
    </w:p>
    <w:p w14:paraId="7F788723" w14:textId="77777777" w:rsidR="00DC1F11" w:rsidRPr="009F62D4" w:rsidRDefault="00DC1F11" w:rsidP="0060738E">
      <w:pPr>
        <w:pStyle w:val="Level1"/>
        <w:numPr>
          <w:ilvl w:val="0"/>
          <w:numId w:val="3"/>
        </w:numPr>
        <w:ind w:left="360" w:right="-360" w:hanging="720"/>
        <w:contextualSpacing/>
        <w:jc w:val="both"/>
        <w:rPr>
          <w:rFonts w:ascii="Georgia" w:hAnsi="Georgia" w:cs="Times"/>
          <w:sz w:val="22"/>
          <w:szCs w:val="22"/>
        </w:rPr>
      </w:pPr>
      <w:r w:rsidRPr="009F62D4">
        <w:rPr>
          <w:rFonts w:ascii="Georgia" w:hAnsi="Georgia" w:cs="Times"/>
          <w:sz w:val="22"/>
          <w:szCs w:val="22"/>
        </w:rPr>
        <w:t xml:space="preserve">The Plaintiff(s) filing this suit, or the party removing this suit from state court, </w:t>
      </w:r>
      <w:r w:rsidRPr="009F62D4">
        <w:rPr>
          <w:rFonts w:ascii="Georgia" w:hAnsi="Georgia" w:cs="Times"/>
          <w:b/>
          <w:bCs/>
          <w:sz w:val="22"/>
          <w:szCs w:val="22"/>
          <w:u w:val="single"/>
        </w:rPr>
        <w:t>SHALL SERVE THE OPPOSING PARTY OR PARTIES</w:t>
      </w:r>
      <w:r w:rsidRPr="009F62D4">
        <w:rPr>
          <w:rFonts w:ascii="Georgia" w:hAnsi="Georgia" w:cs="Times"/>
          <w:sz w:val="22"/>
          <w:szCs w:val="22"/>
        </w:rPr>
        <w:t xml:space="preserve"> with copies of this ORDER SETTING INITIAL PRETRIAL CONFERENCE.</w:t>
      </w:r>
    </w:p>
    <w:p w14:paraId="4DE54ABE" w14:textId="77777777" w:rsidR="00DC1F11" w:rsidRPr="009F62D4" w:rsidRDefault="00DC1F11" w:rsidP="00DC1F11">
      <w:pPr>
        <w:pStyle w:val="Level1"/>
        <w:ind w:left="360" w:right="-360"/>
        <w:contextualSpacing/>
        <w:jc w:val="both"/>
        <w:rPr>
          <w:rFonts w:ascii="Georgia" w:hAnsi="Georgia" w:cs="Times"/>
          <w:sz w:val="22"/>
          <w:szCs w:val="22"/>
        </w:rPr>
      </w:pPr>
    </w:p>
    <w:p w14:paraId="70712CC4" w14:textId="77777777" w:rsidR="00DC1F11" w:rsidRPr="009F62D4" w:rsidRDefault="00DC1F11" w:rsidP="00DC1F11">
      <w:pPr>
        <w:pStyle w:val="Level1"/>
        <w:numPr>
          <w:ilvl w:val="0"/>
          <w:numId w:val="3"/>
        </w:numPr>
        <w:ind w:left="360" w:right="-360" w:hanging="720"/>
        <w:contextualSpacing/>
        <w:jc w:val="both"/>
        <w:rPr>
          <w:rFonts w:ascii="Georgia" w:hAnsi="Georgia" w:cs="Times"/>
          <w:sz w:val="22"/>
          <w:szCs w:val="22"/>
        </w:rPr>
      </w:pPr>
      <w:r w:rsidRPr="009F62D4">
        <w:rPr>
          <w:rFonts w:ascii="Georgia" w:hAnsi="Georgia" w:cs="Times"/>
          <w:sz w:val="22"/>
          <w:szCs w:val="22"/>
        </w:rPr>
        <w:t xml:space="preserve">The plaintiff must serve the defendant within </w:t>
      </w:r>
      <w:r w:rsidRPr="00A54679">
        <w:rPr>
          <w:rFonts w:ascii="Georgia" w:hAnsi="Georgia" w:cs="Times"/>
          <w:sz w:val="22"/>
          <w:szCs w:val="22"/>
        </w:rPr>
        <w:t>90</w:t>
      </w:r>
      <w:r w:rsidRPr="009F62D4">
        <w:rPr>
          <w:rFonts w:ascii="Georgia" w:hAnsi="Georgia" w:cs="Times"/>
          <w:sz w:val="22"/>
          <w:szCs w:val="22"/>
        </w:rPr>
        <w:t xml:space="preserve"> days of filing the complaint.  The plaintiff’s failure to file proof of service within that time may result in dismissal by the </w:t>
      </w:r>
      <w:r w:rsidR="00AC3A28">
        <w:rPr>
          <w:rFonts w:ascii="Georgia" w:hAnsi="Georgia" w:cs="Times"/>
          <w:sz w:val="22"/>
          <w:szCs w:val="22"/>
        </w:rPr>
        <w:t>C</w:t>
      </w:r>
      <w:r w:rsidRPr="009F62D4">
        <w:rPr>
          <w:rFonts w:ascii="Georgia" w:hAnsi="Georgia" w:cs="Times"/>
          <w:sz w:val="22"/>
          <w:szCs w:val="22"/>
        </w:rPr>
        <w:t xml:space="preserve">ourt on its own initiative.  </w:t>
      </w:r>
      <w:r w:rsidRPr="009F62D4">
        <w:rPr>
          <w:rFonts w:ascii="Georgia" w:hAnsi="Georgia" w:cs="Times"/>
          <w:i/>
          <w:iCs/>
          <w:sz w:val="22"/>
          <w:szCs w:val="22"/>
        </w:rPr>
        <w:t>See</w:t>
      </w:r>
      <w:r w:rsidRPr="009F62D4">
        <w:rPr>
          <w:rFonts w:ascii="Georgia" w:hAnsi="Georgia" w:cs="Times"/>
          <w:sz w:val="22"/>
          <w:szCs w:val="22"/>
        </w:rPr>
        <w:t xml:space="preserve"> Fed. R. Civ. P. 4(m).</w:t>
      </w:r>
    </w:p>
    <w:p w14:paraId="40CF61ED" w14:textId="77777777" w:rsidR="00DC1F11" w:rsidRPr="009F62D4" w:rsidRDefault="00DC1F11" w:rsidP="00DC1F11">
      <w:pPr>
        <w:pStyle w:val="Level1"/>
        <w:ind w:left="360" w:right="-360"/>
        <w:contextualSpacing/>
        <w:jc w:val="both"/>
        <w:rPr>
          <w:rFonts w:ascii="Georgia" w:hAnsi="Georgia" w:cs="Times"/>
          <w:sz w:val="22"/>
          <w:szCs w:val="22"/>
        </w:rPr>
      </w:pPr>
    </w:p>
    <w:p w14:paraId="6EEC8B59" w14:textId="77777777" w:rsidR="0060738E" w:rsidRPr="009F62D4" w:rsidRDefault="0060738E" w:rsidP="0060738E">
      <w:pPr>
        <w:pStyle w:val="Level1"/>
        <w:numPr>
          <w:ilvl w:val="0"/>
          <w:numId w:val="3"/>
        </w:numPr>
        <w:ind w:left="360" w:right="-360" w:hanging="720"/>
        <w:contextualSpacing/>
        <w:jc w:val="both"/>
        <w:rPr>
          <w:rFonts w:ascii="Georgia" w:hAnsi="Georgia" w:cs="Times"/>
          <w:sz w:val="22"/>
          <w:szCs w:val="22"/>
        </w:rPr>
      </w:pPr>
      <w:r w:rsidRPr="009F62D4">
        <w:rPr>
          <w:rFonts w:ascii="Georgia" w:hAnsi="Georgia" w:cs="Times"/>
          <w:sz w:val="22"/>
          <w:szCs w:val="22"/>
        </w:rPr>
        <w:t xml:space="preserve">Within </w:t>
      </w:r>
      <w:r w:rsidRPr="00A54679">
        <w:rPr>
          <w:rFonts w:ascii="Georgia" w:hAnsi="Georgia" w:cs="Times"/>
          <w:sz w:val="22"/>
          <w:szCs w:val="22"/>
        </w:rPr>
        <w:t>15</w:t>
      </w:r>
      <w:r w:rsidRPr="009F62D4">
        <w:rPr>
          <w:rFonts w:ascii="Georgia" w:hAnsi="Georgia" w:cs="Times"/>
          <w:sz w:val="22"/>
          <w:szCs w:val="22"/>
        </w:rPr>
        <w:t xml:space="preserve"> days of receiving this order, counsel must file a list of all entities that are financially interested in this litigation, including parent, subsidiary, and affiliated corporations</w:t>
      </w:r>
      <w:r w:rsidR="00A5578F">
        <w:rPr>
          <w:rFonts w:ascii="Georgia" w:hAnsi="Georgia" w:cs="Times"/>
          <w:sz w:val="22"/>
          <w:szCs w:val="22"/>
        </w:rPr>
        <w:t>,</w:t>
      </w:r>
      <w:r w:rsidRPr="009F62D4">
        <w:rPr>
          <w:rFonts w:ascii="Georgia" w:hAnsi="Georgia" w:cs="Times"/>
          <w:sz w:val="22"/>
          <w:szCs w:val="22"/>
        </w:rPr>
        <w:t xml:space="preserve"> as well as all known attorneys of record.  When a group description is effective disclosure, an individual listing is not necessary.  </w:t>
      </w:r>
      <w:r w:rsidRPr="009F62D4">
        <w:rPr>
          <w:rFonts w:ascii="Georgia" w:hAnsi="Georgia" w:cs="Times"/>
          <w:sz w:val="22"/>
          <w:szCs w:val="22"/>
          <w:u w:val="single"/>
        </w:rPr>
        <w:t>Underline the names of corporations with publicly traded securities</w:t>
      </w:r>
      <w:r w:rsidRPr="009F62D4">
        <w:rPr>
          <w:rFonts w:ascii="Georgia" w:hAnsi="Georgia" w:cs="Times"/>
          <w:sz w:val="22"/>
          <w:szCs w:val="22"/>
        </w:rPr>
        <w:t xml:space="preserve">.  Counsel must promptly amend the list when parties are </w:t>
      </w:r>
      <w:proofErr w:type="gramStart"/>
      <w:r w:rsidRPr="009F62D4">
        <w:rPr>
          <w:rFonts w:ascii="Georgia" w:hAnsi="Georgia" w:cs="Times"/>
          <w:sz w:val="22"/>
          <w:szCs w:val="22"/>
        </w:rPr>
        <w:t>added</w:t>
      </w:r>
      <w:proofErr w:type="gramEnd"/>
      <w:r w:rsidRPr="009F62D4">
        <w:rPr>
          <w:rFonts w:ascii="Georgia" w:hAnsi="Georgia" w:cs="Times"/>
          <w:sz w:val="22"/>
          <w:szCs w:val="22"/>
        </w:rPr>
        <w:t xml:space="preserve"> or additional interested parties are identified.</w:t>
      </w:r>
    </w:p>
    <w:p w14:paraId="03AAD5C3" w14:textId="77777777" w:rsidR="00DC1F11" w:rsidRPr="009F62D4" w:rsidRDefault="00DC1F11" w:rsidP="00DC1F11">
      <w:pPr>
        <w:pStyle w:val="Level1"/>
        <w:ind w:left="360" w:right="-360"/>
        <w:contextualSpacing/>
        <w:jc w:val="both"/>
        <w:rPr>
          <w:rFonts w:ascii="Georgia" w:hAnsi="Georgia" w:cs="Times"/>
          <w:sz w:val="22"/>
          <w:szCs w:val="22"/>
        </w:rPr>
      </w:pPr>
    </w:p>
    <w:p w14:paraId="0E01BF9D" w14:textId="77777777" w:rsidR="009C4162" w:rsidRPr="0093329E" w:rsidRDefault="009C4162" w:rsidP="009C4162">
      <w:pPr>
        <w:pStyle w:val="Level1"/>
        <w:numPr>
          <w:ilvl w:val="0"/>
          <w:numId w:val="3"/>
        </w:numPr>
        <w:ind w:left="360" w:right="-360" w:hanging="720"/>
        <w:contextualSpacing/>
        <w:jc w:val="both"/>
        <w:rPr>
          <w:rFonts w:ascii="Georgia" w:hAnsi="Georgia" w:cs="Times"/>
          <w:sz w:val="22"/>
          <w:szCs w:val="22"/>
        </w:rPr>
      </w:pPr>
      <w:r w:rsidRPr="0093329E">
        <w:rPr>
          <w:rFonts w:ascii="Georgia" w:hAnsi="Georgia" w:cs="Times"/>
          <w:sz w:val="22"/>
          <w:szCs w:val="22"/>
        </w:rPr>
        <w:t>At least three business days before the Initial Pretrial Conference, counsel must file a Joint Discovery and Case Management Plan, pursuant to Federal Rule of Civil Procedure 26(f).</w:t>
      </w:r>
    </w:p>
    <w:p w14:paraId="74209CE9" w14:textId="77777777" w:rsidR="009C4162" w:rsidRPr="009F62D4" w:rsidRDefault="009C4162" w:rsidP="009C4162">
      <w:pPr>
        <w:pStyle w:val="Level1"/>
        <w:ind w:left="360" w:right="-360"/>
        <w:contextualSpacing/>
        <w:jc w:val="both"/>
        <w:rPr>
          <w:rFonts w:ascii="Georgia" w:hAnsi="Georgia" w:cs="Times"/>
          <w:sz w:val="22"/>
          <w:szCs w:val="22"/>
        </w:rPr>
      </w:pPr>
    </w:p>
    <w:p w14:paraId="22307D4C" w14:textId="77777777" w:rsidR="009C4162" w:rsidRPr="009F62D4" w:rsidRDefault="009C4162" w:rsidP="009C4162">
      <w:pPr>
        <w:pStyle w:val="Level1"/>
        <w:numPr>
          <w:ilvl w:val="0"/>
          <w:numId w:val="3"/>
        </w:numPr>
        <w:ind w:left="360" w:right="-360" w:hanging="720"/>
        <w:contextualSpacing/>
        <w:jc w:val="both"/>
        <w:rPr>
          <w:rFonts w:ascii="Georgia" w:hAnsi="Georgia" w:cs="Times"/>
          <w:sz w:val="22"/>
          <w:szCs w:val="22"/>
        </w:rPr>
      </w:pPr>
      <w:r w:rsidRPr="009F62D4">
        <w:rPr>
          <w:rFonts w:ascii="Georgia" w:hAnsi="Georgia" w:cs="Times"/>
          <w:sz w:val="22"/>
          <w:szCs w:val="22"/>
        </w:rPr>
        <w:t>By the Initial Pretrial Conference, counsel will have interviewed their clients and read all readily available relevant documents.</w:t>
      </w:r>
    </w:p>
    <w:p w14:paraId="3943A0C1" w14:textId="77777777" w:rsidR="009C4162" w:rsidRPr="009F62D4" w:rsidRDefault="009C4162" w:rsidP="009C4162">
      <w:pPr>
        <w:pStyle w:val="Level1"/>
        <w:ind w:left="0" w:right="-360"/>
        <w:contextualSpacing/>
        <w:jc w:val="both"/>
        <w:rPr>
          <w:rFonts w:ascii="Georgia" w:hAnsi="Georgia" w:cs="Times"/>
          <w:sz w:val="22"/>
          <w:szCs w:val="22"/>
        </w:rPr>
      </w:pPr>
    </w:p>
    <w:p w14:paraId="727AE546" w14:textId="77777777" w:rsidR="009C4162" w:rsidRPr="009F62D4" w:rsidRDefault="009C4162" w:rsidP="009C4162">
      <w:pPr>
        <w:pStyle w:val="Level1"/>
        <w:ind w:left="360" w:right="-360" w:hanging="720"/>
        <w:contextualSpacing/>
        <w:jc w:val="both"/>
        <w:rPr>
          <w:rFonts w:ascii="Georgia" w:hAnsi="Georgia" w:cs="Times"/>
          <w:sz w:val="22"/>
          <w:szCs w:val="22"/>
        </w:rPr>
      </w:pPr>
      <w:r>
        <w:rPr>
          <w:rFonts w:ascii="Georgia" w:hAnsi="Georgia" w:cs="Times"/>
          <w:sz w:val="22"/>
          <w:szCs w:val="22"/>
        </w:rPr>
        <w:t>7</w:t>
      </w:r>
      <w:r w:rsidRPr="009F62D4">
        <w:rPr>
          <w:rFonts w:ascii="Georgia" w:hAnsi="Georgia" w:cs="Times"/>
          <w:sz w:val="22"/>
          <w:szCs w:val="22"/>
        </w:rPr>
        <w:t>.</w:t>
      </w:r>
      <w:r w:rsidRPr="009F62D4">
        <w:rPr>
          <w:rFonts w:ascii="Georgia" w:hAnsi="Georgia" w:cs="Times"/>
          <w:sz w:val="22"/>
          <w:szCs w:val="22"/>
        </w:rPr>
        <w:tab/>
        <w:t xml:space="preserve">By the Initial Pretrial Conference, counsel must have discussed the possible effectiveness of Alternative Dispute Resolution with their clients and each other.  At the Initial Pretrial Conference, </w:t>
      </w:r>
      <w:r>
        <w:rPr>
          <w:rFonts w:ascii="Georgia" w:hAnsi="Georgia" w:cs="Times"/>
          <w:sz w:val="22"/>
          <w:szCs w:val="22"/>
        </w:rPr>
        <w:t>the C</w:t>
      </w:r>
      <w:r w:rsidRPr="009F62D4">
        <w:rPr>
          <w:rFonts w:ascii="Georgia" w:hAnsi="Georgia" w:cs="Times"/>
          <w:sz w:val="22"/>
          <w:szCs w:val="22"/>
        </w:rPr>
        <w:t>ourt will consider whether a method of Alternative Dispute Resolution is suited to this case.</w:t>
      </w:r>
    </w:p>
    <w:p w14:paraId="6FBAB479" w14:textId="77777777" w:rsidR="009C4162" w:rsidRPr="009F62D4" w:rsidRDefault="009C4162" w:rsidP="009C4162">
      <w:pPr>
        <w:pStyle w:val="Level1"/>
        <w:ind w:left="360" w:right="-360"/>
        <w:contextualSpacing/>
        <w:jc w:val="both"/>
        <w:rPr>
          <w:rFonts w:ascii="Georgia" w:hAnsi="Georgia" w:cs="Times"/>
          <w:sz w:val="22"/>
          <w:szCs w:val="22"/>
        </w:rPr>
      </w:pPr>
    </w:p>
    <w:p w14:paraId="4A55C574" w14:textId="4363C3B5" w:rsidR="00170A0A" w:rsidRDefault="009C4162" w:rsidP="00170A0A">
      <w:pPr>
        <w:pStyle w:val="Level1"/>
        <w:numPr>
          <w:ilvl w:val="0"/>
          <w:numId w:val="11"/>
        </w:numPr>
        <w:ind w:left="360" w:right="-360" w:hanging="720"/>
        <w:contextualSpacing/>
        <w:jc w:val="both"/>
        <w:rPr>
          <w:rFonts w:ascii="Georgia" w:hAnsi="Georgia" w:cs="Times"/>
          <w:sz w:val="22"/>
          <w:szCs w:val="22"/>
        </w:rPr>
      </w:pPr>
      <w:r w:rsidRPr="009F62D4">
        <w:rPr>
          <w:rFonts w:ascii="Georgia" w:hAnsi="Georgia" w:cs="Times"/>
          <w:sz w:val="22"/>
          <w:szCs w:val="22"/>
        </w:rPr>
        <w:t>At the Initial Pretrial Conference, the Court may rule on motions pending or made at the conference.</w:t>
      </w:r>
    </w:p>
    <w:p w14:paraId="24FF6F96" w14:textId="77777777" w:rsidR="00170A0A" w:rsidRDefault="00170A0A" w:rsidP="00170A0A">
      <w:pPr>
        <w:pStyle w:val="Level1"/>
        <w:ind w:left="360" w:right="-360"/>
        <w:contextualSpacing/>
        <w:jc w:val="both"/>
        <w:rPr>
          <w:rFonts w:ascii="Georgia" w:hAnsi="Georgia" w:cs="Times"/>
          <w:sz w:val="22"/>
          <w:szCs w:val="22"/>
        </w:rPr>
      </w:pPr>
    </w:p>
    <w:p w14:paraId="5450EE57" w14:textId="09DAABDA" w:rsidR="009C4162" w:rsidRPr="00170A0A" w:rsidRDefault="009C4162" w:rsidP="00170A0A">
      <w:pPr>
        <w:pStyle w:val="Level1"/>
        <w:numPr>
          <w:ilvl w:val="0"/>
          <w:numId w:val="11"/>
        </w:numPr>
        <w:ind w:left="360" w:right="-360" w:hanging="720"/>
        <w:contextualSpacing/>
        <w:jc w:val="both"/>
        <w:rPr>
          <w:rFonts w:ascii="Georgia" w:hAnsi="Georgia" w:cs="Times"/>
          <w:sz w:val="22"/>
          <w:szCs w:val="22"/>
        </w:rPr>
      </w:pPr>
      <w:r w:rsidRPr="00170A0A">
        <w:rPr>
          <w:rFonts w:ascii="Georgia" w:hAnsi="Georgia" w:cs="Times"/>
          <w:sz w:val="22"/>
          <w:szCs w:val="22"/>
        </w:rPr>
        <w:t>Failure to comply with this Order Setting Initial Pretrial Conference may result in sanctions, including dismissal of the action and assessment of expenses.</w:t>
      </w:r>
      <w:r w:rsidRPr="00170A0A">
        <w:rPr>
          <w:rFonts w:ascii="Georgia" w:hAnsi="Georgia" w:cs="Times"/>
          <w:smallCaps/>
          <w:sz w:val="22"/>
          <w:szCs w:val="22"/>
        </w:rPr>
        <w:tab/>
      </w:r>
    </w:p>
    <w:sectPr w:rsidR="009C4162" w:rsidRPr="00170A0A" w:rsidSect="00A24C9D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4AD3D" w14:textId="77777777" w:rsidR="00A831F5" w:rsidRDefault="00A831F5" w:rsidP="00580D9C">
      <w:pPr>
        <w:spacing w:after="0" w:line="240" w:lineRule="auto"/>
      </w:pPr>
      <w:r>
        <w:separator/>
      </w:r>
    </w:p>
  </w:endnote>
  <w:endnote w:type="continuationSeparator" w:id="0">
    <w:p w14:paraId="31C32296" w14:textId="77777777" w:rsidR="00A831F5" w:rsidRDefault="00A831F5" w:rsidP="0058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eorgia" w:hAnsi="Georgia"/>
      </w:rPr>
      <w:id w:val="11568810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13428" w14:textId="73E8255C" w:rsidR="00A54679" w:rsidRPr="00B5457A" w:rsidRDefault="00A54679">
        <w:pPr>
          <w:pStyle w:val="Footer"/>
          <w:jc w:val="center"/>
          <w:rPr>
            <w:rFonts w:ascii="Georgia" w:hAnsi="Georgia"/>
          </w:rPr>
        </w:pPr>
        <w:r w:rsidRPr="00B5457A">
          <w:rPr>
            <w:rFonts w:ascii="Georgia" w:hAnsi="Georgia"/>
          </w:rPr>
          <w:fldChar w:fldCharType="begin"/>
        </w:r>
        <w:r w:rsidRPr="00B5457A">
          <w:rPr>
            <w:rFonts w:ascii="Georgia" w:hAnsi="Georgia"/>
          </w:rPr>
          <w:instrText xml:space="preserve"> PAGE   \* MERGEFORMAT </w:instrText>
        </w:r>
        <w:r w:rsidRPr="00B5457A">
          <w:rPr>
            <w:rFonts w:ascii="Georgia" w:hAnsi="Georgia"/>
          </w:rPr>
          <w:fldChar w:fldCharType="separate"/>
        </w:r>
        <w:r w:rsidRPr="00B5457A">
          <w:rPr>
            <w:rFonts w:ascii="Georgia" w:hAnsi="Georgia"/>
            <w:noProof/>
          </w:rPr>
          <w:t>2</w:t>
        </w:r>
        <w:r w:rsidRPr="00B5457A">
          <w:rPr>
            <w:rFonts w:ascii="Georgia" w:hAnsi="Georgia"/>
            <w:noProof/>
          </w:rPr>
          <w:fldChar w:fldCharType="end"/>
        </w:r>
      </w:p>
    </w:sdtContent>
  </w:sdt>
  <w:p w14:paraId="0FAD9D82" w14:textId="77777777" w:rsidR="00A54679" w:rsidRDefault="00A546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EF69E" w14:textId="77777777" w:rsidR="00A831F5" w:rsidRDefault="00A831F5" w:rsidP="00580D9C">
      <w:pPr>
        <w:spacing w:after="0" w:line="240" w:lineRule="auto"/>
      </w:pPr>
      <w:r>
        <w:separator/>
      </w:r>
    </w:p>
  </w:footnote>
  <w:footnote w:type="continuationSeparator" w:id="0">
    <w:p w14:paraId="6A62C891" w14:textId="77777777" w:rsidR="00A831F5" w:rsidRDefault="00A831F5" w:rsidP="00580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07FB4"/>
    <w:multiLevelType w:val="hybridMultilevel"/>
    <w:tmpl w:val="ECC62352"/>
    <w:lvl w:ilvl="0" w:tplc="9C04C6A2">
      <w:start w:val="8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15E8B"/>
    <w:multiLevelType w:val="hybridMultilevel"/>
    <w:tmpl w:val="E9F027A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30D57"/>
    <w:multiLevelType w:val="multilevel"/>
    <w:tmpl w:val="04CE934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36477113"/>
    <w:multiLevelType w:val="hybridMultilevel"/>
    <w:tmpl w:val="B4D62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F583D"/>
    <w:multiLevelType w:val="hybridMultilevel"/>
    <w:tmpl w:val="EFAEACEE"/>
    <w:lvl w:ilvl="0" w:tplc="0409000F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FE3442"/>
    <w:multiLevelType w:val="hybridMultilevel"/>
    <w:tmpl w:val="0C821AF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59590622"/>
    <w:multiLevelType w:val="multilevel"/>
    <w:tmpl w:val="04CE934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upp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7" w15:restartNumberingAfterBreak="0">
    <w:nsid w:val="64DA4796"/>
    <w:multiLevelType w:val="hybridMultilevel"/>
    <w:tmpl w:val="1096C93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55C4F"/>
    <w:multiLevelType w:val="hybridMultilevel"/>
    <w:tmpl w:val="08446C9C"/>
    <w:lvl w:ilvl="0" w:tplc="24763258">
      <w:start w:val="7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7638A"/>
    <w:multiLevelType w:val="multilevel"/>
    <w:tmpl w:val="CFB27594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lowerLetter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Roman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(%4)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(%5)"/>
      <w:legacy w:legacy="1" w:legacySpace="0" w:legacyIndent="0"/>
      <w:lvlJc w:val="left"/>
      <w:pPr>
        <w:ind w:left="0" w:firstLine="0"/>
      </w:pPr>
    </w:lvl>
    <w:lvl w:ilvl="5">
      <w:start w:val="1"/>
      <w:numFmt w:val="lowerRoman"/>
      <w:lvlText w:val="(%6)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)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)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num w:numId="1" w16cid:durableId="1906526990">
    <w:abstractNumId w:val="3"/>
  </w:num>
  <w:num w:numId="2" w16cid:durableId="1356809600">
    <w:abstractNumId w:val="7"/>
  </w:num>
  <w:num w:numId="3" w16cid:durableId="1626890480">
    <w:abstractNumId w:val="6"/>
  </w:num>
  <w:num w:numId="4" w16cid:durableId="1047871360">
    <w:abstractNumId w:val="6"/>
    <w:lvlOverride w:ilvl="0">
      <w:lvl w:ilvl="0">
        <w:start w:val="1"/>
        <w:numFmt w:val="upperRoman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upperLetter"/>
        <w:lvlText w:val="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lowerLetter"/>
        <w:lvlText w:val="%4)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(%5)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lowerLetter"/>
        <w:lvlText w:val="(%6)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lowerRoman"/>
        <w:lvlText w:val="(%7)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lowerLetter"/>
        <w:lvlText w:val="(%8)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lowerRoman"/>
        <w:lvlText w:val="(%9)"/>
        <w:legacy w:legacy="1" w:legacySpace="0" w:legacyIndent="720"/>
        <w:lvlJc w:val="left"/>
        <w:pPr>
          <w:ind w:left="6480" w:hanging="720"/>
        </w:pPr>
      </w:lvl>
    </w:lvlOverride>
  </w:num>
  <w:num w:numId="5" w16cid:durableId="1301619983">
    <w:abstractNumId w:val="4"/>
  </w:num>
  <w:num w:numId="6" w16cid:durableId="1826898417">
    <w:abstractNumId w:val="1"/>
  </w:num>
  <w:num w:numId="7" w16cid:durableId="1573470703">
    <w:abstractNumId w:val="9"/>
  </w:num>
  <w:num w:numId="8" w16cid:durableId="1102065870">
    <w:abstractNumId w:val="2"/>
  </w:num>
  <w:num w:numId="9" w16cid:durableId="1378429331">
    <w:abstractNumId w:val="8"/>
  </w:num>
  <w:num w:numId="10" w16cid:durableId="246230722">
    <w:abstractNumId w:val="5"/>
  </w:num>
  <w:num w:numId="11" w16cid:durableId="1534687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D8"/>
    <w:rsid w:val="000131B4"/>
    <w:rsid w:val="000216EC"/>
    <w:rsid w:val="00042282"/>
    <w:rsid w:val="00064777"/>
    <w:rsid w:val="000744C4"/>
    <w:rsid w:val="000838E5"/>
    <w:rsid w:val="00086A31"/>
    <w:rsid w:val="00091C63"/>
    <w:rsid w:val="000B3364"/>
    <w:rsid w:val="00101F9E"/>
    <w:rsid w:val="00116725"/>
    <w:rsid w:val="0013698B"/>
    <w:rsid w:val="00170A0A"/>
    <w:rsid w:val="00185550"/>
    <w:rsid w:val="00192ADE"/>
    <w:rsid w:val="001D37CD"/>
    <w:rsid w:val="001E039E"/>
    <w:rsid w:val="001F04F0"/>
    <w:rsid w:val="001F701F"/>
    <w:rsid w:val="002017D8"/>
    <w:rsid w:val="002365AD"/>
    <w:rsid w:val="0024069E"/>
    <w:rsid w:val="00284E88"/>
    <w:rsid w:val="00290423"/>
    <w:rsid w:val="002B35E0"/>
    <w:rsid w:val="002E52A3"/>
    <w:rsid w:val="0031170F"/>
    <w:rsid w:val="003328F4"/>
    <w:rsid w:val="00332D55"/>
    <w:rsid w:val="00342C6B"/>
    <w:rsid w:val="00363319"/>
    <w:rsid w:val="0038171A"/>
    <w:rsid w:val="0038419B"/>
    <w:rsid w:val="00390D2B"/>
    <w:rsid w:val="003C765B"/>
    <w:rsid w:val="003D798C"/>
    <w:rsid w:val="003E5CAB"/>
    <w:rsid w:val="00404881"/>
    <w:rsid w:val="00457773"/>
    <w:rsid w:val="00467DB1"/>
    <w:rsid w:val="004771A7"/>
    <w:rsid w:val="0048102B"/>
    <w:rsid w:val="004840DE"/>
    <w:rsid w:val="004C6B8E"/>
    <w:rsid w:val="004D3987"/>
    <w:rsid w:val="004D5417"/>
    <w:rsid w:val="0050047E"/>
    <w:rsid w:val="00507C9D"/>
    <w:rsid w:val="00532180"/>
    <w:rsid w:val="00535B28"/>
    <w:rsid w:val="00536C74"/>
    <w:rsid w:val="00580D9C"/>
    <w:rsid w:val="005A65E8"/>
    <w:rsid w:val="005B1EED"/>
    <w:rsid w:val="005B67CF"/>
    <w:rsid w:val="005D6A19"/>
    <w:rsid w:val="00606096"/>
    <w:rsid w:val="0060738E"/>
    <w:rsid w:val="00616592"/>
    <w:rsid w:val="0065348C"/>
    <w:rsid w:val="0067478A"/>
    <w:rsid w:val="00677B36"/>
    <w:rsid w:val="00680238"/>
    <w:rsid w:val="006A3A52"/>
    <w:rsid w:val="006B751D"/>
    <w:rsid w:val="006D2E38"/>
    <w:rsid w:val="006D7CF3"/>
    <w:rsid w:val="006F2C68"/>
    <w:rsid w:val="00720B80"/>
    <w:rsid w:val="00724147"/>
    <w:rsid w:val="00757FDC"/>
    <w:rsid w:val="00767DED"/>
    <w:rsid w:val="00791C20"/>
    <w:rsid w:val="0079497E"/>
    <w:rsid w:val="007B72A5"/>
    <w:rsid w:val="007C46AC"/>
    <w:rsid w:val="007D79CC"/>
    <w:rsid w:val="007F0DA2"/>
    <w:rsid w:val="00803641"/>
    <w:rsid w:val="00813D83"/>
    <w:rsid w:val="0081530D"/>
    <w:rsid w:val="008561BD"/>
    <w:rsid w:val="00857C4C"/>
    <w:rsid w:val="008627A2"/>
    <w:rsid w:val="0087677A"/>
    <w:rsid w:val="008A3F55"/>
    <w:rsid w:val="008B69D6"/>
    <w:rsid w:val="008D5174"/>
    <w:rsid w:val="008E20DC"/>
    <w:rsid w:val="008E27CF"/>
    <w:rsid w:val="0091168D"/>
    <w:rsid w:val="0092316B"/>
    <w:rsid w:val="009309A2"/>
    <w:rsid w:val="00935939"/>
    <w:rsid w:val="00952C98"/>
    <w:rsid w:val="0095413F"/>
    <w:rsid w:val="0099154E"/>
    <w:rsid w:val="009A363E"/>
    <w:rsid w:val="009B40D8"/>
    <w:rsid w:val="009C01E1"/>
    <w:rsid w:val="009C251D"/>
    <w:rsid w:val="009C4162"/>
    <w:rsid w:val="009D2CC9"/>
    <w:rsid w:val="009E08CE"/>
    <w:rsid w:val="009E6113"/>
    <w:rsid w:val="009F62D4"/>
    <w:rsid w:val="00A11D1A"/>
    <w:rsid w:val="00A1567C"/>
    <w:rsid w:val="00A16D67"/>
    <w:rsid w:val="00A22F03"/>
    <w:rsid w:val="00A24C9D"/>
    <w:rsid w:val="00A26086"/>
    <w:rsid w:val="00A350BB"/>
    <w:rsid w:val="00A37C6B"/>
    <w:rsid w:val="00A53A7A"/>
    <w:rsid w:val="00A54679"/>
    <w:rsid w:val="00A5578F"/>
    <w:rsid w:val="00A64B61"/>
    <w:rsid w:val="00A64E0E"/>
    <w:rsid w:val="00A7398A"/>
    <w:rsid w:val="00A831F5"/>
    <w:rsid w:val="00A95179"/>
    <w:rsid w:val="00AA7218"/>
    <w:rsid w:val="00AC3A28"/>
    <w:rsid w:val="00AE10E1"/>
    <w:rsid w:val="00AE5C1E"/>
    <w:rsid w:val="00B00B34"/>
    <w:rsid w:val="00B10B76"/>
    <w:rsid w:val="00B27461"/>
    <w:rsid w:val="00B30B91"/>
    <w:rsid w:val="00B433D8"/>
    <w:rsid w:val="00B5457A"/>
    <w:rsid w:val="00B61E9C"/>
    <w:rsid w:val="00B63C93"/>
    <w:rsid w:val="00B6481D"/>
    <w:rsid w:val="00B6674D"/>
    <w:rsid w:val="00B67F81"/>
    <w:rsid w:val="00B7613B"/>
    <w:rsid w:val="00B84906"/>
    <w:rsid w:val="00BC54B8"/>
    <w:rsid w:val="00BD22BB"/>
    <w:rsid w:val="00BD2492"/>
    <w:rsid w:val="00BE5B6C"/>
    <w:rsid w:val="00BF1A79"/>
    <w:rsid w:val="00C234A2"/>
    <w:rsid w:val="00C26E46"/>
    <w:rsid w:val="00C4262A"/>
    <w:rsid w:val="00C55BF8"/>
    <w:rsid w:val="00C634DF"/>
    <w:rsid w:val="00C6543F"/>
    <w:rsid w:val="00C7326E"/>
    <w:rsid w:val="00C764B7"/>
    <w:rsid w:val="00C94823"/>
    <w:rsid w:val="00C9494F"/>
    <w:rsid w:val="00CB180E"/>
    <w:rsid w:val="00CB3E95"/>
    <w:rsid w:val="00CE4A59"/>
    <w:rsid w:val="00CE4D10"/>
    <w:rsid w:val="00CE5A67"/>
    <w:rsid w:val="00D0030C"/>
    <w:rsid w:val="00D0550E"/>
    <w:rsid w:val="00D61188"/>
    <w:rsid w:val="00D6322A"/>
    <w:rsid w:val="00D87934"/>
    <w:rsid w:val="00D937BC"/>
    <w:rsid w:val="00D9531F"/>
    <w:rsid w:val="00D97503"/>
    <w:rsid w:val="00DA0A55"/>
    <w:rsid w:val="00DB00F2"/>
    <w:rsid w:val="00DC1F11"/>
    <w:rsid w:val="00DF45A5"/>
    <w:rsid w:val="00DF7DB0"/>
    <w:rsid w:val="00E00663"/>
    <w:rsid w:val="00E07F07"/>
    <w:rsid w:val="00E413BA"/>
    <w:rsid w:val="00E436F5"/>
    <w:rsid w:val="00E65122"/>
    <w:rsid w:val="00E8008B"/>
    <w:rsid w:val="00EA48B6"/>
    <w:rsid w:val="00EB1C76"/>
    <w:rsid w:val="00EB348B"/>
    <w:rsid w:val="00EC7C78"/>
    <w:rsid w:val="00ED347B"/>
    <w:rsid w:val="00EE3556"/>
    <w:rsid w:val="00EF1257"/>
    <w:rsid w:val="00EF69D6"/>
    <w:rsid w:val="00F06A72"/>
    <w:rsid w:val="00F10E2B"/>
    <w:rsid w:val="00F114D3"/>
    <w:rsid w:val="00F23DC5"/>
    <w:rsid w:val="00F249AF"/>
    <w:rsid w:val="00F55FDC"/>
    <w:rsid w:val="00F702F4"/>
    <w:rsid w:val="00FC2AFC"/>
    <w:rsid w:val="00FF1EB1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AA280"/>
  <w15:docId w15:val="{520367B4-D37C-45D0-A603-B0F87124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D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F55"/>
    <w:rPr>
      <w:rFonts w:ascii="Tahoma" w:hAnsi="Tahoma" w:cs="Tahoma"/>
      <w:sz w:val="16"/>
      <w:szCs w:val="16"/>
    </w:rPr>
  </w:style>
  <w:style w:type="paragraph" w:customStyle="1" w:styleId="Level1">
    <w:name w:val="Level 1"/>
    <w:uiPriority w:val="99"/>
    <w:rsid w:val="0060738E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Level2">
    <w:name w:val="Level 2"/>
    <w:uiPriority w:val="99"/>
    <w:rsid w:val="0060738E"/>
    <w:pPr>
      <w:autoSpaceDE w:val="0"/>
      <w:autoSpaceDN w:val="0"/>
      <w:adjustRightInd w:val="0"/>
      <w:spacing w:after="0" w:line="240" w:lineRule="auto"/>
      <w:ind w:left="1440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0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0F2"/>
  </w:style>
  <w:style w:type="paragraph" w:styleId="Footer">
    <w:name w:val="footer"/>
    <w:basedOn w:val="Normal"/>
    <w:link w:val="FooterChar"/>
    <w:uiPriority w:val="99"/>
    <w:unhideWhenUsed/>
    <w:rsid w:val="00DB0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0F2"/>
  </w:style>
  <w:style w:type="character" w:styleId="CommentReference">
    <w:name w:val="annotation reference"/>
    <w:basedOn w:val="DefaultParagraphFont"/>
    <w:uiPriority w:val="99"/>
    <w:semiHidden/>
    <w:unhideWhenUsed/>
    <w:rsid w:val="00A350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50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50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0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0B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E4D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7A49A-32D0-4C97-AE37-FC5C8385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 Rodriguez, Jr.</dc:creator>
  <cp:lastModifiedBy>Rick Ramos</cp:lastModifiedBy>
  <cp:revision>2</cp:revision>
  <cp:lastPrinted>2024-12-04T21:22:00Z</cp:lastPrinted>
  <dcterms:created xsi:type="dcterms:W3CDTF">2025-03-31T20:13:00Z</dcterms:created>
  <dcterms:modified xsi:type="dcterms:W3CDTF">2025-03-31T20:13:00Z</dcterms:modified>
</cp:coreProperties>
</file>