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40EF" w14:textId="77777777" w:rsidR="00AC0A77" w:rsidRPr="003A3570" w:rsidRDefault="00AC0A77" w:rsidP="00AC0A77">
      <w:pPr>
        <w:contextualSpacing/>
        <w:rPr>
          <w:rFonts w:ascii="Times New Roman" w:hAnsi="Times New Roman" w:cs="Times New Roman"/>
          <w:sz w:val="24"/>
          <w:szCs w:val="24"/>
        </w:rPr>
      </w:pPr>
      <w:r w:rsidRPr="00AE73B7">
        <w:rPr>
          <w:rFonts w:ascii="Times New Roman" w:hAnsi="Times New Roman" w:cs="Times New Roman"/>
          <w:noProof/>
          <w:sz w:val="20"/>
          <w:szCs w:val="20"/>
        </w:rPr>
        <mc:AlternateContent>
          <mc:Choice Requires="wps">
            <w:drawing>
              <wp:anchor distT="0" distB="0" distL="114300" distR="114300" simplePos="0" relativeHeight="251686912" behindDoc="0" locked="0" layoutInCell="0" allowOverlap="1" wp14:anchorId="659FC496" wp14:editId="3D45A1F5">
                <wp:simplePos x="0" y="0"/>
                <wp:positionH relativeFrom="margin">
                  <wp:posOffset>0</wp:posOffset>
                </wp:positionH>
                <wp:positionV relativeFrom="paragraph">
                  <wp:posOffset>27305</wp:posOffset>
                </wp:positionV>
                <wp:extent cx="5943600" cy="0"/>
                <wp:effectExtent l="19050" t="27305" r="19050" b="203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009B" id="Straight Connector 8"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" o:allowincell="f" strokecolor="#020000" strokeweight="2.88pt">
                <v:stroke linestyle="thinThin"/>
                <w10:wrap anchorx="margin"/>
              </v:line>
            </w:pict>
          </mc:Fallback>
        </mc:AlternateContent>
      </w:r>
    </w:p>
    <w:p w14:paraId="1764057E" w14:textId="77777777" w:rsidR="00AC0A77" w:rsidRPr="00862531" w:rsidRDefault="00AC0A77" w:rsidP="00AC0A77">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United States District Court</w:t>
      </w:r>
      <w:r w:rsidRPr="00862531">
        <w:rPr>
          <w:rFonts w:ascii="Times New Roman" w:hAnsi="Times New Roman" w:cs="Times New Roman"/>
          <w:smallCaps/>
          <w:sz w:val="28"/>
          <w:szCs w:val="24"/>
        </w:rPr>
        <w:t xml:space="preserve">          </w:t>
      </w:r>
      <w:proofErr w:type="gramStart"/>
      <w:r w:rsidRPr="00862531">
        <w:rPr>
          <w:rFonts w:ascii="Segoe UI Symbol" w:hAnsi="Segoe UI Symbol" w:cs="Segoe UI Symbol"/>
          <w:smallCaps/>
          <w:sz w:val="28"/>
          <w:szCs w:val="24"/>
        </w:rPr>
        <w:t>☆</w:t>
      </w:r>
      <w:r w:rsidRPr="00862531">
        <w:rPr>
          <w:rFonts w:ascii="Times New Roman" w:hAnsi="Times New Roman" w:cs="Times New Roman"/>
          <w:smallCaps/>
          <w:sz w:val="28"/>
          <w:szCs w:val="24"/>
        </w:rPr>
        <w:t xml:space="preserve">  </w:t>
      </w:r>
      <w:r w:rsidRPr="00862531">
        <w:rPr>
          <w:rFonts w:ascii="Times New Roman" w:hAnsi="Times New Roman" w:cs="Times New Roman"/>
          <w:smallCaps/>
          <w:sz w:val="28"/>
          <w:szCs w:val="24"/>
        </w:rPr>
        <w:tab/>
      </w:r>
      <w:proofErr w:type="gramEnd"/>
      <w:r w:rsidRPr="00862531">
        <w:rPr>
          <w:rFonts w:ascii="Times New Roman" w:hAnsi="Times New Roman" w:cs="Times New Roman"/>
          <w:b/>
          <w:smallCaps/>
          <w:sz w:val="28"/>
          <w:szCs w:val="24"/>
        </w:rPr>
        <w:t>Southern District of Texas</w:t>
      </w:r>
    </w:p>
    <w:p w14:paraId="73335F21" w14:textId="77777777" w:rsidR="00AC0A77" w:rsidRPr="00862531" w:rsidRDefault="00AC0A77" w:rsidP="00AC0A77">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Pr>
          <w:rFonts w:ascii="Times New Roman" w:hAnsi="Times New Roman" w:cs="Times New Roman"/>
          <w:b/>
          <w:smallCaps/>
          <w:sz w:val="28"/>
          <w:szCs w:val="24"/>
        </w:rPr>
        <w:t xml:space="preserve">           </w:t>
      </w:r>
      <w:r w:rsidRPr="00862531">
        <w:rPr>
          <w:rFonts w:ascii="Times New Roman" w:hAnsi="Times New Roman" w:cs="Times New Roman"/>
          <w:b/>
          <w:smallCaps/>
          <w:sz w:val="28"/>
          <w:szCs w:val="24"/>
        </w:rPr>
        <w:t>Houston Division</w:t>
      </w:r>
    </w:p>
    <w:p w14:paraId="14D56336" w14:textId="77777777" w:rsidR="00AC0A77" w:rsidRPr="00862531" w:rsidRDefault="00AC0A77" w:rsidP="00AC0A77">
      <w:pPr>
        <w:contextualSpacing/>
        <w:rPr>
          <w:rFonts w:ascii="Times New Roman" w:hAnsi="Times New Roman" w:cs="Times New Roman"/>
          <w:b/>
          <w:smallCaps/>
          <w:sz w:val="16"/>
          <w:szCs w:val="24"/>
        </w:rPr>
      </w:pPr>
    </w:p>
    <w:p w14:paraId="594BC996" w14:textId="77777777" w:rsidR="00216B23" w:rsidRPr="003A3570" w:rsidRDefault="00AC0A77" w:rsidP="00AC0A77">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00216B23" w:rsidRPr="003A3570">
        <w:rPr>
          <w:rFonts w:ascii="Times New Roman" w:hAnsi="Times New Roman" w:cs="Times New Roman"/>
          <w:sz w:val="24"/>
          <w:szCs w:val="24"/>
        </w:rPr>
        <w:tab/>
      </w:r>
      <w:r w:rsidR="00216B23" w:rsidRPr="003A3570">
        <w:rPr>
          <w:rFonts w:ascii="Times New Roman" w:hAnsi="Times New Roman" w:cs="Times New Roman"/>
          <w:sz w:val="24"/>
          <w:szCs w:val="24"/>
        </w:rPr>
        <w:tab/>
      </w:r>
      <w:r w:rsidR="00216B23" w:rsidRPr="00AE73B7">
        <w:rPr>
          <w:rFonts w:ascii="Times New Roman" w:hAnsi="Times New Roman" w:cs="Times New Roman"/>
          <w:noProof/>
          <w:sz w:val="20"/>
          <w:szCs w:val="20"/>
        </w:rPr>
        <mc:AlternateContent>
          <mc:Choice Requires="wps">
            <w:drawing>
              <wp:anchor distT="0" distB="0" distL="114300" distR="114300" simplePos="0" relativeHeight="251684864" behindDoc="0" locked="0" layoutInCell="0" allowOverlap="1" wp14:anchorId="33630A53" wp14:editId="798FCF37">
                <wp:simplePos x="0" y="0"/>
                <wp:positionH relativeFrom="margin">
                  <wp:posOffset>0</wp:posOffset>
                </wp:positionH>
                <wp:positionV relativeFrom="paragraph">
                  <wp:posOffset>26670</wp:posOffset>
                </wp:positionV>
                <wp:extent cx="5943600" cy="0"/>
                <wp:effectExtent l="19050" t="27305" r="19050"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1CE97"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" o:allowincell="f" strokecolor="#020000" strokeweight="2.88pt">
                <v:stroke linestyle="thinThin"/>
                <w10:wrap anchorx="margin"/>
              </v:line>
            </w:pict>
          </mc:Fallback>
        </mc:AlternateContent>
      </w:r>
    </w:p>
    <w:p w14:paraId="4B815775" w14:textId="77777777" w:rsidR="00216B23" w:rsidRDefault="00216B23" w:rsidP="003A3570">
      <w:pPr>
        <w:contextualSpacing/>
        <w:rPr>
          <w:rFonts w:ascii="Times New Roman" w:hAnsi="Times New Roman" w:cs="Times New Roman"/>
          <w:sz w:val="24"/>
          <w:szCs w:val="24"/>
        </w:rPr>
      </w:pPr>
    </w:p>
    <w:p w14:paraId="3C0506C9" w14:textId="77777777" w:rsidR="003A3570" w:rsidRPr="00216B23" w:rsidRDefault="003A3570" w:rsidP="003A3570">
      <w:pPr>
        <w:contextualSpacing/>
        <w:rPr>
          <w:rFonts w:ascii="Times New Roman" w:hAnsi="Times New Roman" w:cs="Times New Roman"/>
          <w:b/>
          <w:sz w:val="24"/>
          <w:szCs w:val="24"/>
          <w:u w:val="single"/>
        </w:rPr>
      </w:pPr>
      <w:r w:rsidRPr="00216B23">
        <w:rPr>
          <w:rFonts w:ascii="Times New Roman" w:hAnsi="Times New Roman" w:cs="Times New Roman"/>
          <w:b/>
          <w:sz w:val="24"/>
          <w:szCs w:val="24"/>
          <w:u w:val="single"/>
        </w:rPr>
        <w:t>Courtroom Etiquette</w:t>
      </w:r>
    </w:p>
    <w:p w14:paraId="27E21A59"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8198D3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All individuals who appear in court must observe these and other conventions of courteous, orderly behavior.</w:t>
      </w:r>
    </w:p>
    <w:p w14:paraId="774A67DD" w14:textId="77777777" w:rsidR="003A3570" w:rsidRPr="003A3570" w:rsidRDefault="003A3570" w:rsidP="003A3570">
      <w:pPr>
        <w:contextualSpacing/>
        <w:rPr>
          <w:rFonts w:ascii="Times New Roman" w:hAnsi="Times New Roman" w:cs="Times New Roman"/>
          <w:sz w:val="24"/>
          <w:szCs w:val="24"/>
        </w:rPr>
      </w:pPr>
    </w:p>
    <w:p w14:paraId="7C7F8C08" w14:textId="77777777" w:rsidR="003A3570" w:rsidRPr="003A3570" w:rsidRDefault="00216B23" w:rsidP="003A3570">
      <w:pPr>
        <w:contextualSpacing/>
        <w:rPr>
          <w:rFonts w:ascii="Times New Roman" w:hAnsi="Times New Roman" w:cs="Times New Roman"/>
          <w:sz w:val="24"/>
          <w:szCs w:val="24"/>
        </w:rPr>
      </w:pPr>
      <w:r>
        <w:rPr>
          <w:rFonts w:ascii="Times New Roman" w:hAnsi="Times New Roman" w:cs="Times New Roman"/>
          <w:sz w:val="24"/>
          <w:szCs w:val="24"/>
        </w:rPr>
        <w:t>A</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Be punctual.</w:t>
      </w:r>
      <w:bookmarkStart w:id="0" w:name="_GoBack"/>
      <w:bookmarkEnd w:id="0"/>
    </w:p>
    <w:p w14:paraId="442C0DC3"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918B93F" w14:textId="77777777" w:rsidR="003A3570" w:rsidRPr="003A3570" w:rsidRDefault="00216B23" w:rsidP="00216B23">
      <w:pPr>
        <w:ind w:left="720" w:hanging="720"/>
        <w:contextualSpacing/>
        <w:rPr>
          <w:rFonts w:ascii="Times New Roman" w:hAnsi="Times New Roman" w:cs="Times New Roman"/>
          <w:sz w:val="24"/>
          <w:szCs w:val="24"/>
        </w:rPr>
      </w:pPr>
      <w:r>
        <w:rPr>
          <w:rFonts w:ascii="Times New Roman" w:hAnsi="Times New Roman" w:cs="Times New Roman"/>
          <w:sz w:val="24"/>
          <w:szCs w:val="24"/>
        </w:rPr>
        <w:t>B</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Remain in attendance until excused.  All persons sitting before the bar shall remain there during each session and return after each recess.  Parties and counsel must remain in attendance during jury deliberations; absence waives the right to attend the return of the verdict.</w:t>
      </w:r>
    </w:p>
    <w:p w14:paraId="748783B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DD42D64" w14:textId="77777777" w:rsidR="003A3570" w:rsidRPr="003A3570" w:rsidRDefault="00216B23" w:rsidP="003A3570">
      <w:pPr>
        <w:contextualSpacing/>
        <w:rPr>
          <w:rFonts w:ascii="Times New Roman" w:hAnsi="Times New Roman" w:cs="Times New Roman"/>
          <w:sz w:val="24"/>
          <w:szCs w:val="24"/>
        </w:rPr>
      </w:pPr>
      <w:r>
        <w:rPr>
          <w:rFonts w:ascii="Times New Roman" w:hAnsi="Times New Roman" w:cs="Times New Roman"/>
          <w:sz w:val="24"/>
          <w:szCs w:val="24"/>
        </w:rPr>
        <w:t>C</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Dress with dignity.</w:t>
      </w:r>
    </w:p>
    <w:p w14:paraId="1FDE143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5B984DA" w14:textId="77777777" w:rsidR="003A3570" w:rsidRPr="003A3570" w:rsidRDefault="00216B23" w:rsidP="00F31299">
      <w:pPr>
        <w:ind w:left="720" w:hanging="720"/>
        <w:contextualSpacing/>
        <w:rPr>
          <w:rFonts w:ascii="Times New Roman" w:hAnsi="Times New Roman" w:cs="Times New Roman"/>
          <w:sz w:val="24"/>
          <w:szCs w:val="24"/>
        </w:rPr>
      </w:pPr>
      <w:r>
        <w:rPr>
          <w:rFonts w:ascii="Times New Roman" w:hAnsi="Times New Roman" w:cs="Times New Roman"/>
          <w:sz w:val="24"/>
          <w:szCs w:val="24"/>
        </w:rPr>
        <w:t>D</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Address others only by their titles, if applicable, and/or surnames, including lawyers, witnesses, and court personnel.</w:t>
      </w:r>
    </w:p>
    <w:p w14:paraId="592A6BF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B7DF672" w14:textId="77777777" w:rsidR="003A3570" w:rsidRPr="003A3570" w:rsidRDefault="00216B23" w:rsidP="00216B23">
      <w:pPr>
        <w:ind w:left="720" w:hanging="720"/>
        <w:contextualSpacing/>
        <w:rPr>
          <w:rFonts w:ascii="Times New Roman" w:hAnsi="Times New Roman" w:cs="Times New Roman"/>
          <w:sz w:val="24"/>
          <w:szCs w:val="24"/>
        </w:rPr>
      </w:pPr>
      <w:r>
        <w:rPr>
          <w:rFonts w:ascii="Times New Roman" w:hAnsi="Times New Roman" w:cs="Times New Roman"/>
          <w:sz w:val="24"/>
          <w:szCs w:val="24"/>
        </w:rPr>
        <w:t>E</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Unless instructed otherwise, stand when the Court speaks to you; stand when you speak to the Court.  Speak only to the Court, except for questioning witnesses and, in opening and closing, addressing the jury.  Do not argue with each other.</w:t>
      </w:r>
    </w:p>
    <w:p w14:paraId="3A6440F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31D1D7F" w14:textId="77777777" w:rsidR="003A3570" w:rsidRPr="003A3570" w:rsidRDefault="00F31299" w:rsidP="00216B23">
      <w:pPr>
        <w:ind w:left="720" w:hanging="720"/>
        <w:contextualSpacing/>
        <w:rPr>
          <w:rFonts w:ascii="Times New Roman" w:hAnsi="Times New Roman" w:cs="Times New Roman"/>
          <w:sz w:val="24"/>
          <w:szCs w:val="24"/>
        </w:rPr>
      </w:pPr>
      <w:r>
        <w:rPr>
          <w:rFonts w:ascii="Times New Roman" w:hAnsi="Times New Roman" w:cs="Times New Roman"/>
          <w:sz w:val="24"/>
          <w:szCs w:val="24"/>
        </w:rPr>
        <w:t>F</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Avoid approaching the bench.  Counsel should anticipate the necessity for rulings and discuss them when the jury is not seated.  When a bench conference is unavoidable, get permission first.</w:t>
      </w:r>
    </w:p>
    <w:p w14:paraId="7F015BD6"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22D249D" w14:textId="77777777" w:rsidR="003A3570" w:rsidRPr="003A3570" w:rsidRDefault="00F31299" w:rsidP="00216B23">
      <w:pPr>
        <w:ind w:left="720" w:hanging="720"/>
        <w:contextualSpacing/>
        <w:rPr>
          <w:rFonts w:ascii="Times New Roman" w:hAnsi="Times New Roman" w:cs="Times New Roman"/>
          <w:sz w:val="24"/>
          <w:szCs w:val="24"/>
        </w:rPr>
      </w:pPr>
      <w:r>
        <w:rPr>
          <w:rFonts w:ascii="Times New Roman" w:hAnsi="Times New Roman" w:cs="Times New Roman"/>
          <w:sz w:val="24"/>
          <w:szCs w:val="24"/>
        </w:rPr>
        <w:t>G</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Hand to the Case Manager, not the judge or reporter, all documents or items tendered for examination by the judge.</w:t>
      </w:r>
    </w:p>
    <w:p w14:paraId="48E28F4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69E599A" w14:textId="77777777" w:rsidR="003A3570" w:rsidRPr="003A3570" w:rsidRDefault="00F31299" w:rsidP="003A3570">
      <w:pPr>
        <w:contextualSpacing/>
        <w:rPr>
          <w:rFonts w:ascii="Times New Roman" w:hAnsi="Times New Roman" w:cs="Times New Roman"/>
          <w:sz w:val="24"/>
          <w:szCs w:val="24"/>
        </w:rPr>
      </w:pPr>
      <w:r>
        <w:rPr>
          <w:rFonts w:ascii="Times New Roman" w:hAnsi="Times New Roman" w:cs="Times New Roman"/>
          <w:sz w:val="24"/>
          <w:szCs w:val="24"/>
        </w:rPr>
        <w:t>H</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Stand when the judge or jury enters or leaves the courtroom.</w:t>
      </w:r>
    </w:p>
    <w:p w14:paraId="73E02A2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9BD353D" w14:textId="77777777" w:rsidR="003A3570" w:rsidRPr="003A3570" w:rsidRDefault="00F31299" w:rsidP="00216B23">
      <w:pPr>
        <w:ind w:left="720" w:hanging="720"/>
        <w:contextualSpacing/>
        <w:rPr>
          <w:rFonts w:ascii="Times New Roman" w:hAnsi="Times New Roman" w:cs="Times New Roman"/>
          <w:sz w:val="24"/>
          <w:szCs w:val="24"/>
        </w:rPr>
      </w:pPr>
      <w:r>
        <w:rPr>
          <w:rFonts w:ascii="Times New Roman" w:hAnsi="Times New Roman" w:cs="Times New Roman"/>
          <w:sz w:val="24"/>
          <w:szCs w:val="24"/>
        </w:rPr>
        <w:t>I</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 xml:space="preserve">Contact with the law clerks is </w:t>
      </w:r>
      <w:r w:rsidR="003A3570" w:rsidRPr="00F31299">
        <w:rPr>
          <w:rFonts w:ascii="Times New Roman" w:hAnsi="Times New Roman" w:cs="Times New Roman"/>
          <w:i/>
          <w:sz w:val="24"/>
          <w:szCs w:val="24"/>
        </w:rPr>
        <w:t xml:space="preserve">ex </w:t>
      </w:r>
      <w:proofErr w:type="spellStart"/>
      <w:r w:rsidR="003A3570" w:rsidRPr="00F31299">
        <w:rPr>
          <w:rFonts w:ascii="Times New Roman" w:hAnsi="Times New Roman" w:cs="Times New Roman"/>
          <w:i/>
          <w:sz w:val="24"/>
          <w:szCs w:val="24"/>
        </w:rPr>
        <w:t>parte</w:t>
      </w:r>
      <w:proofErr w:type="spellEnd"/>
      <w:r w:rsidR="003A3570" w:rsidRPr="00F31299">
        <w:rPr>
          <w:rFonts w:ascii="Times New Roman" w:hAnsi="Times New Roman" w:cs="Times New Roman"/>
          <w:i/>
          <w:sz w:val="24"/>
          <w:szCs w:val="24"/>
        </w:rPr>
        <w:t xml:space="preserve"> </w:t>
      </w:r>
      <w:r w:rsidR="003A3570" w:rsidRPr="003A3570">
        <w:rPr>
          <w:rFonts w:ascii="Times New Roman" w:hAnsi="Times New Roman" w:cs="Times New Roman"/>
          <w:sz w:val="24"/>
          <w:szCs w:val="24"/>
        </w:rPr>
        <w:t>contact with the Court.  Contact must be through the Case Manager.</w:t>
      </w:r>
    </w:p>
    <w:p w14:paraId="6AB04BB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8565EC4" w14:textId="77777777" w:rsidR="003A3570" w:rsidRPr="003A3570" w:rsidRDefault="00F31299" w:rsidP="00F31299">
      <w:pPr>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J</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Assist in the summoning of witnesses from outside the courtroom.  Furnish the Case Manager, marshal, and court reporter with a list of witnesses showing the order in which they are likely to be called.</w:t>
      </w:r>
    </w:p>
    <w:p w14:paraId="747E352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8CA22F6" w14:textId="77777777" w:rsidR="003A3570" w:rsidRPr="003A3570" w:rsidRDefault="00F31299" w:rsidP="00F31299">
      <w:pPr>
        <w:ind w:left="720" w:hanging="720"/>
        <w:contextualSpacing/>
        <w:rPr>
          <w:rFonts w:ascii="Times New Roman" w:hAnsi="Times New Roman" w:cs="Times New Roman"/>
          <w:sz w:val="24"/>
          <w:szCs w:val="24"/>
        </w:rPr>
      </w:pPr>
      <w:r>
        <w:rPr>
          <w:rFonts w:ascii="Times New Roman" w:hAnsi="Times New Roman" w:cs="Times New Roman"/>
          <w:sz w:val="24"/>
          <w:szCs w:val="24"/>
        </w:rPr>
        <w:t>K</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Question witnesses while standing at the lectern unless instructed otherwise by the Court.  When it is necessary to question a witness about an exhibit, ask permission to approach the witness.</w:t>
      </w:r>
    </w:p>
    <w:p w14:paraId="6DAC12B4"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D566D56" w14:textId="77777777" w:rsidR="003A3570" w:rsidRPr="003A3570" w:rsidRDefault="00F31299" w:rsidP="003A3570">
      <w:pPr>
        <w:contextualSpacing/>
        <w:rPr>
          <w:rFonts w:ascii="Times New Roman" w:hAnsi="Times New Roman" w:cs="Times New Roman"/>
          <w:sz w:val="24"/>
          <w:szCs w:val="24"/>
        </w:rPr>
      </w:pPr>
      <w:r>
        <w:rPr>
          <w:rFonts w:ascii="Times New Roman" w:hAnsi="Times New Roman" w:cs="Times New Roman"/>
          <w:sz w:val="24"/>
          <w:szCs w:val="24"/>
        </w:rPr>
        <w:t>L</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Conduct no experiment or demonstration without permission.</w:t>
      </w:r>
    </w:p>
    <w:p w14:paraId="77AD767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4A5FD82" w14:textId="77777777" w:rsidR="003A3570" w:rsidRPr="003A3570" w:rsidRDefault="00F31299" w:rsidP="00F31299">
      <w:pPr>
        <w:ind w:left="720" w:hanging="720"/>
        <w:contextualSpacing/>
        <w:rPr>
          <w:rFonts w:ascii="Times New Roman" w:hAnsi="Times New Roman" w:cs="Times New Roman"/>
          <w:sz w:val="24"/>
          <w:szCs w:val="24"/>
        </w:rPr>
      </w:pPr>
      <w:r>
        <w:rPr>
          <w:rFonts w:ascii="Times New Roman" w:hAnsi="Times New Roman" w:cs="Times New Roman"/>
          <w:sz w:val="24"/>
          <w:szCs w:val="24"/>
        </w:rPr>
        <w:t>M</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Do not participate in a trial as an attorney if you expect you may be called as a witness without prior permission of the Court.</w:t>
      </w:r>
    </w:p>
    <w:p w14:paraId="7EFB351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62FF35F" w14:textId="77777777" w:rsidR="003A3570" w:rsidRPr="003A3570" w:rsidRDefault="00F31299" w:rsidP="00AC0A77">
      <w:pPr>
        <w:ind w:left="720" w:hanging="720"/>
        <w:contextualSpacing/>
        <w:rPr>
          <w:rFonts w:ascii="Times New Roman" w:hAnsi="Times New Roman" w:cs="Times New Roman"/>
          <w:sz w:val="24"/>
          <w:szCs w:val="24"/>
        </w:rPr>
      </w:pPr>
      <w:r>
        <w:rPr>
          <w:rFonts w:ascii="Times New Roman" w:hAnsi="Times New Roman" w:cs="Times New Roman"/>
          <w:sz w:val="24"/>
          <w:szCs w:val="24"/>
        </w:rPr>
        <w:t>N</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Avoid disparaging remarks and acrimony toward counsel and discourage ill will between the litigants.  Counsel must abstain from unnecessary references to opposing counsel, especially peculiarities.</w:t>
      </w:r>
    </w:p>
    <w:p w14:paraId="7898327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1D5E158" w14:textId="77777777" w:rsidR="003A3570" w:rsidRPr="003A3570" w:rsidRDefault="00F31299" w:rsidP="003A3570">
      <w:pPr>
        <w:contextualSpacing/>
        <w:rPr>
          <w:rFonts w:ascii="Times New Roman" w:hAnsi="Times New Roman" w:cs="Times New Roman"/>
          <w:sz w:val="24"/>
          <w:szCs w:val="24"/>
        </w:rPr>
      </w:pPr>
      <w:r>
        <w:rPr>
          <w:rFonts w:ascii="Times New Roman" w:hAnsi="Times New Roman" w:cs="Times New Roman"/>
          <w:sz w:val="24"/>
          <w:szCs w:val="24"/>
        </w:rPr>
        <w:t>O</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Make no side-bar remarks or speaking objections.</w:t>
      </w:r>
    </w:p>
    <w:p w14:paraId="0532B13B"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4C5EA20" w14:textId="77777777" w:rsidR="003A3570" w:rsidRPr="003A3570" w:rsidRDefault="00AC0A77" w:rsidP="00AC0A77">
      <w:pPr>
        <w:ind w:left="720" w:hanging="720"/>
        <w:contextualSpacing/>
        <w:rPr>
          <w:rFonts w:ascii="Times New Roman" w:hAnsi="Times New Roman" w:cs="Times New Roman"/>
          <w:sz w:val="24"/>
          <w:szCs w:val="24"/>
        </w:rPr>
      </w:pPr>
      <w:r>
        <w:rPr>
          <w:rFonts w:ascii="Times New Roman" w:hAnsi="Times New Roman" w:cs="Times New Roman"/>
          <w:sz w:val="24"/>
          <w:szCs w:val="24"/>
        </w:rPr>
        <w:t>P</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 xml:space="preserve">Counsel are responsible for advising their clients, witnesses, and associate counsel about proper courtroom behavior and about pertinent rulings of the Court such as rulings on motions in </w:t>
      </w:r>
      <w:proofErr w:type="spellStart"/>
      <w:r w:rsidR="003A3570" w:rsidRPr="003A3570">
        <w:rPr>
          <w:rFonts w:ascii="Times New Roman" w:hAnsi="Times New Roman" w:cs="Times New Roman"/>
          <w:sz w:val="24"/>
          <w:szCs w:val="24"/>
        </w:rPr>
        <w:t>limine</w:t>
      </w:r>
      <w:proofErr w:type="spellEnd"/>
      <w:r w:rsidR="003A3570" w:rsidRPr="003A3570">
        <w:rPr>
          <w:rFonts w:ascii="Times New Roman" w:hAnsi="Times New Roman" w:cs="Times New Roman"/>
          <w:sz w:val="24"/>
          <w:szCs w:val="24"/>
        </w:rPr>
        <w:t>.</w:t>
      </w:r>
    </w:p>
    <w:p w14:paraId="37B36EE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9B1B78E" w14:textId="77777777" w:rsidR="003A3570" w:rsidRPr="003A3570" w:rsidRDefault="00AC0A77" w:rsidP="00AC0A77">
      <w:pPr>
        <w:ind w:left="720" w:hanging="720"/>
        <w:contextualSpacing/>
        <w:rPr>
          <w:rFonts w:ascii="Times New Roman" w:hAnsi="Times New Roman" w:cs="Times New Roman"/>
          <w:sz w:val="24"/>
          <w:szCs w:val="24"/>
        </w:rPr>
      </w:pPr>
      <w:r>
        <w:rPr>
          <w:rFonts w:ascii="Times New Roman" w:hAnsi="Times New Roman" w:cs="Times New Roman"/>
          <w:sz w:val="24"/>
          <w:szCs w:val="24"/>
        </w:rPr>
        <w:t>Q</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Request the use of easels, light boxes, and other equipment well in advance so that they may be set up while the Court is not in session.</w:t>
      </w:r>
    </w:p>
    <w:p w14:paraId="31DBCBA2" w14:textId="505AA77C" w:rsidR="000D417F"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0D829C5" w14:textId="3FC74FB8" w:rsidR="009C4093" w:rsidRDefault="009C4093" w:rsidP="003A3570">
      <w:pPr>
        <w:contextualSpacing/>
        <w:rPr>
          <w:rFonts w:ascii="Times New Roman" w:hAnsi="Times New Roman" w:cs="Times New Roman"/>
          <w:sz w:val="24"/>
          <w:szCs w:val="24"/>
        </w:rPr>
      </w:pPr>
    </w:p>
    <w:p w14:paraId="5C4A27EC" w14:textId="23EA8006" w:rsidR="009C4093" w:rsidRDefault="009C4093" w:rsidP="003A3570">
      <w:pPr>
        <w:contextualSpacing/>
        <w:rPr>
          <w:rFonts w:ascii="Times New Roman" w:hAnsi="Times New Roman" w:cs="Times New Roman"/>
          <w:sz w:val="24"/>
          <w:szCs w:val="24"/>
        </w:rPr>
      </w:pPr>
    </w:p>
    <w:p w14:paraId="763E203F" w14:textId="48680852" w:rsidR="009C4093" w:rsidRDefault="009C4093" w:rsidP="003A3570">
      <w:pPr>
        <w:contextualSpacing/>
        <w:rPr>
          <w:rFonts w:ascii="Times New Roman" w:hAnsi="Times New Roman" w:cs="Times New Roman"/>
          <w:sz w:val="24"/>
          <w:szCs w:val="24"/>
        </w:rPr>
      </w:pPr>
    </w:p>
    <w:p w14:paraId="5A14204F" w14:textId="51284D77" w:rsidR="009C4093" w:rsidRDefault="009C4093" w:rsidP="003A3570">
      <w:pPr>
        <w:contextualSpacing/>
        <w:rPr>
          <w:rFonts w:ascii="Times New Roman" w:hAnsi="Times New Roman" w:cs="Times New Roman"/>
          <w:sz w:val="24"/>
          <w:szCs w:val="24"/>
        </w:rPr>
      </w:pPr>
    </w:p>
    <w:p w14:paraId="1230B51C" w14:textId="71A0B5B5" w:rsidR="009C4093" w:rsidRDefault="009C4093" w:rsidP="003A3570">
      <w:pPr>
        <w:contextualSpacing/>
        <w:rPr>
          <w:rFonts w:ascii="Times New Roman" w:hAnsi="Times New Roman" w:cs="Times New Roman"/>
          <w:sz w:val="24"/>
          <w:szCs w:val="24"/>
        </w:rPr>
      </w:pPr>
    </w:p>
    <w:p w14:paraId="3D67C5FC" w14:textId="5123174F" w:rsidR="009C4093" w:rsidRDefault="009C4093" w:rsidP="003A3570">
      <w:pPr>
        <w:contextualSpacing/>
        <w:rPr>
          <w:rFonts w:ascii="Times New Roman" w:hAnsi="Times New Roman" w:cs="Times New Roman"/>
          <w:sz w:val="24"/>
          <w:szCs w:val="24"/>
        </w:rPr>
      </w:pPr>
    </w:p>
    <w:p w14:paraId="4A420578" w14:textId="61D8A947" w:rsidR="009C4093" w:rsidRDefault="009C4093" w:rsidP="003A3570">
      <w:pPr>
        <w:contextualSpacing/>
        <w:rPr>
          <w:rFonts w:ascii="Times New Roman" w:hAnsi="Times New Roman" w:cs="Times New Roman"/>
          <w:sz w:val="24"/>
          <w:szCs w:val="24"/>
        </w:rPr>
      </w:pPr>
    </w:p>
    <w:p w14:paraId="4FE2FD15" w14:textId="5213E4DF" w:rsidR="009C4093" w:rsidRDefault="009C4093" w:rsidP="003A3570">
      <w:pPr>
        <w:contextualSpacing/>
        <w:rPr>
          <w:rFonts w:ascii="Times New Roman" w:hAnsi="Times New Roman" w:cs="Times New Roman"/>
          <w:sz w:val="24"/>
          <w:szCs w:val="24"/>
        </w:rPr>
      </w:pPr>
    </w:p>
    <w:p w14:paraId="60401B79" w14:textId="166AD058" w:rsidR="009C4093" w:rsidRDefault="009C4093" w:rsidP="003A3570">
      <w:pPr>
        <w:contextualSpacing/>
        <w:rPr>
          <w:rFonts w:ascii="Times New Roman" w:hAnsi="Times New Roman" w:cs="Times New Roman"/>
          <w:sz w:val="24"/>
          <w:szCs w:val="24"/>
        </w:rPr>
      </w:pPr>
    </w:p>
    <w:p w14:paraId="1AC77C37" w14:textId="71F4FEF4" w:rsidR="009C4093" w:rsidRDefault="009C4093" w:rsidP="003A3570">
      <w:pPr>
        <w:contextualSpacing/>
        <w:rPr>
          <w:rFonts w:ascii="Times New Roman" w:hAnsi="Times New Roman" w:cs="Times New Roman"/>
          <w:sz w:val="24"/>
          <w:szCs w:val="24"/>
        </w:rPr>
      </w:pPr>
    </w:p>
    <w:p w14:paraId="5EE5C096" w14:textId="2F1A34B4" w:rsidR="009C4093" w:rsidRDefault="009C4093" w:rsidP="003A3570">
      <w:pPr>
        <w:contextualSpacing/>
        <w:rPr>
          <w:rFonts w:ascii="Times New Roman" w:hAnsi="Times New Roman" w:cs="Times New Roman"/>
          <w:sz w:val="24"/>
          <w:szCs w:val="24"/>
        </w:rPr>
      </w:pPr>
    </w:p>
    <w:sectPr w:rsidR="009C4093" w:rsidSect="00CB068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F898" w14:textId="77777777" w:rsidR="0053731E" w:rsidRDefault="0053731E" w:rsidP="00CB068E">
      <w:pPr>
        <w:spacing w:after="0" w:line="240" w:lineRule="auto"/>
      </w:pPr>
      <w:r>
        <w:separator/>
      </w:r>
    </w:p>
  </w:endnote>
  <w:endnote w:type="continuationSeparator" w:id="0">
    <w:p w14:paraId="3E3FFF20" w14:textId="77777777" w:rsidR="0053731E" w:rsidRDefault="0053731E" w:rsidP="00C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FF9C" w14:textId="6D15F85F" w:rsidR="0053731E" w:rsidRPr="00CB068E" w:rsidRDefault="0053731E">
    <w:pPr>
      <w:pStyle w:val="Footer"/>
      <w:jc w:val="center"/>
      <w:rPr>
        <w:rFonts w:ascii="Times New Roman" w:hAnsi="Times New Roman" w:cs="Times New Roman"/>
        <w:sz w:val="24"/>
        <w:szCs w:val="24"/>
      </w:rPr>
    </w:pPr>
  </w:p>
  <w:p w14:paraId="6ACBC65B" w14:textId="77777777" w:rsidR="0053731E" w:rsidRDefault="0053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91BD" w14:textId="77777777" w:rsidR="0053731E" w:rsidRDefault="0053731E" w:rsidP="00CB068E">
      <w:pPr>
        <w:spacing w:after="0" w:line="240" w:lineRule="auto"/>
      </w:pPr>
      <w:r>
        <w:separator/>
      </w:r>
    </w:p>
  </w:footnote>
  <w:footnote w:type="continuationSeparator" w:id="0">
    <w:p w14:paraId="42B426D3" w14:textId="77777777" w:rsidR="0053731E" w:rsidRDefault="0053731E" w:rsidP="00CB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B98"/>
    <w:multiLevelType w:val="hybridMultilevel"/>
    <w:tmpl w:val="A8288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47B"/>
    <w:multiLevelType w:val="hybridMultilevel"/>
    <w:tmpl w:val="5A0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15B5"/>
    <w:multiLevelType w:val="hybridMultilevel"/>
    <w:tmpl w:val="F7F4E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11"/>
    <w:multiLevelType w:val="hybridMultilevel"/>
    <w:tmpl w:val="8F4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BB1"/>
    <w:multiLevelType w:val="hybridMultilevel"/>
    <w:tmpl w:val="FA0649CA"/>
    <w:lvl w:ilvl="0" w:tplc="E0EA2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73919"/>
    <w:multiLevelType w:val="hybridMultilevel"/>
    <w:tmpl w:val="7C38E098"/>
    <w:lvl w:ilvl="0" w:tplc="04767D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82102"/>
    <w:multiLevelType w:val="hybridMultilevel"/>
    <w:tmpl w:val="EC1A2264"/>
    <w:lvl w:ilvl="0" w:tplc="AB4E4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5F0B27"/>
    <w:multiLevelType w:val="hybridMultilevel"/>
    <w:tmpl w:val="BDC4908E"/>
    <w:lvl w:ilvl="0" w:tplc="04767D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405ED"/>
    <w:multiLevelType w:val="hybridMultilevel"/>
    <w:tmpl w:val="0BDEBB78"/>
    <w:lvl w:ilvl="0" w:tplc="AB4E45CE">
      <w:start w:val="1"/>
      <w:numFmt w:val="decimal"/>
      <w:lvlText w:val="(%1)"/>
      <w:lvlJc w:val="left"/>
      <w:pPr>
        <w:ind w:left="720" w:hanging="360"/>
      </w:pPr>
      <w:rPr>
        <w:rFonts w:hint="default"/>
      </w:rPr>
    </w:lvl>
    <w:lvl w:ilvl="1" w:tplc="8D2A21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A084C"/>
    <w:multiLevelType w:val="hybridMultilevel"/>
    <w:tmpl w:val="F63AB3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0"/>
  </w:num>
  <w:num w:numId="5">
    <w:abstractNumId w:val="4"/>
  </w:num>
  <w:num w:numId="6">
    <w:abstractNumId w:val="2"/>
  </w:num>
  <w:num w:numId="7">
    <w:abstractNumId w:val="3"/>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70"/>
    <w:rsid w:val="00006819"/>
    <w:rsid w:val="000142D8"/>
    <w:rsid w:val="000435FA"/>
    <w:rsid w:val="000C359A"/>
    <w:rsid w:val="000D417F"/>
    <w:rsid w:val="000D76CC"/>
    <w:rsid w:val="000E01E4"/>
    <w:rsid w:val="000F4A92"/>
    <w:rsid w:val="000F54E4"/>
    <w:rsid w:val="00103C59"/>
    <w:rsid w:val="00107F93"/>
    <w:rsid w:val="00125E86"/>
    <w:rsid w:val="00186265"/>
    <w:rsid w:val="0019234A"/>
    <w:rsid w:val="001A4381"/>
    <w:rsid w:val="001C3FD8"/>
    <w:rsid w:val="001C77AE"/>
    <w:rsid w:val="001D5E6E"/>
    <w:rsid w:val="001E240D"/>
    <w:rsid w:val="00216B23"/>
    <w:rsid w:val="00235204"/>
    <w:rsid w:val="00251E5C"/>
    <w:rsid w:val="002553D1"/>
    <w:rsid w:val="00257B5D"/>
    <w:rsid w:val="00271409"/>
    <w:rsid w:val="002A06CF"/>
    <w:rsid w:val="002B1C89"/>
    <w:rsid w:val="002B622A"/>
    <w:rsid w:val="002C104A"/>
    <w:rsid w:val="002F58ED"/>
    <w:rsid w:val="0031798C"/>
    <w:rsid w:val="00317E7B"/>
    <w:rsid w:val="00392382"/>
    <w:rsid w:val="003A1C48"/>
    <w:rsid w:val="003A355B"/>
    <w:rsid w:val="003A3570"/>
    <w:rsid w:val="003C1D26"/>
    <w:rsid w:val="003D3737"/>
    <w:rsid w:val="003F5DF7"/>
    <w:rsid w:val="00406244"/>
    <w:rsid w:val="00415083"/>
    <w:rsid w:val="00432A6C"/>
    <w:rsid w:val="00441C75"/>
    <w:rsid w:val="00446FF8"/>
    <w:rsid w:val="004D15EB"/>
    <w:rsid w:val="005221A8"/>
    <w:rsid w:val="0053731E"/>
    <w:rsid w:val="00547F1D"/>
    <w:rsid w:val="005534BC"/>
    <w:rsid w:val="005A6721"/>
    <w:rsid w:val="005E639E"/>
    <w:rsid w:val="00601315"/>
    <w:rsid w:val="00601356"/>
    <w:rsid w:val="00610C71"/>
    <w:rsid w:val="00613886"/>
    <w:rsid w:val="00640398"/>
    <w:rsid w:val="006438DF"/>
    <w:rsid w:val="00644BEA"/>
    <w:rsid w:val="0065634E"/>
    <w:rsid w:val="00664200"/>
    <w:rsid w:val="006764BF"/>
    <w:rsid w:val="00677EAF"/>
    <w:rsid w:val="0068316C"/>
    <w:rsid w:val="00690E6F"/>
    <w:rsid w:val="006A327D"/>
    <w:rsid w:val="00776007"/>
    <w:rsid w:val="00793D1B"/>
    <w:rsid w:val="00797ABA"/>
    <w:rsid w:val="007C7128"/>
    <w:rsid w:val="007D2EC0"/>
    <w:rsid w:val="008144B5"/>
    <w:rsid w:val="00831B60"/>
    <w:rsid w:val="008461CF"/>
    <w:rsid w:val="0086226C"/>
    <w:rsid w:val="00862531"/>
    <w:rsid w:val="00874593"/>
    <w:rsid w:val="00890D81"/>
    <w:rsid w:val="008A0ECC"/>
    <w:rsid w:val="008E0B52"/>
    <w:rsid w:val="008F0978"/>
    <w:rsid w:val="008F3A0A"/>
    <w:rsid w:val="00921290"/>
    <w:rsid w:val="009C4093"/>
    <w:rsid w:val="00A07295"/>
    <w:rsid w:val="00A253B2"/>
    <w:rsid w:val="00A42EAE"/>
    <w:rsid w:val="00A77949"/>
    <w:rsid w:val="00AC0A77"/>
    <w:rsid w:val="00AC62A8"/>
    <w:rsid w:val="00AD2827"/>
    <w:rsid w:val="00AF04AE"/>
    <w:rsid w:val="00B0112F"/>
    <w:rsid w:val="00B55986"/>
    <w:rsid w:val="00B74896"/>
    <w:rsid w:val="00C0151D"/>
    <w:rsid w:val="00C23A48"/>
    <w:rsid w:val="00C723C6"/>
    <w:rsid w:val="00C92C4A"/>
    <w:rsid w:val="00CB068E"/>
    <w:rsid w:val="00CD1EE8"/>
    <w:rsid w:val="00CD4B63"/>
    <w:rsid w:val="00CD71DE"/>
    <w:rsid w:val="00D05241"/>
    <w:rsid w:val="00D147C8"/>
    <w:rsid w:val="00D62D20"/>
    <w:rsid w:val="00D679AC"/>
    <w:rsid w:val="00D81D95"/>
    <w:rsid w:val="00DD1807"/>
    <w:rsid w:val="00DD6EFD"/>
    <w:rsid w:val="00DF2846"/>
    <w:rsid w:val="00DF7A95"/>
    <w:rsid w:val="00E1400F"/>
    <w:rsid w:val="00E43159"/>
    <w:rsid w:val="00E8441E"/>
    <w:rsid w:val="00EC2023"/>
    <w:rsid w:val="00ED6021"/>
    <w:rsid w:val="00F02BE8"/>
    <w:rsid w:val="00F047B4"/>
    <w:rsid w:val="00F31299"/>
    <w:rsid w:val="00F6640E"/>
    <w:rsid w:val="00FA7777"/>
    <w:rsid w:val="00FB2D93"/>
    <w:rsid w:val="00FE6C53"/>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22C21"/>
  <w15:chartTrackingRefBased/>
  <w15:docId w15:val="{2552D54A-54B0-44DF-9ECB-11ECAFE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2D2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62D20"/>
    <w:pPr>
      <w:spacing w:after="0" w:line="240" w:lineRule="auto"/>
    </w:pPr>
    <w:rPr>
      <w:rFonts w:ascii="Times New Roman" w:eastAsiaTheme="majorEastAsia" w:hAnsi="Times New Roman" w:cstheme="majorBidi"/>
      <w:sz w:val="24"/>
      <w:szCs w:val="20"/>
    </w:rPr>
  </w:style>
  <w:style w:type="table" w:styleId="TableGrid">
    <w:name w:val="Table Grid"/>
    <w:basedOn w:val="TableNormal"/>
    <w:uiPriority w:val="59"/>
    <w:rsid w:val="001C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819"/>
    <w:pPr>
      <w:ind w:left="720"/>
      <w:contextualSpacing/>
    </w:pPr>
  </w:style>
  <w:style w:type="paragraph" w:styleId="BalloonText">
    <w:name w:val="Balloon Text"/>
    <w:basedOn w:val="Normal"/>
    <w:link w:val="BalloonTextChar"/>
    <w:uiPriority w:val="99"/>
    <w:semiHidden/>
    <w:unhideWhenUsed/>
    <w:rsid w:val="0068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6C"/>
    <w:rPr>
      <w:rFonts w:ascii="Segoe UI" w:hAnsi="Segoe UI" w:cs="Segoe UI"/>
      <w:sz w:val="18"/>
      <w:szCs w:val="18"/>
    </w:rPr>
  </w:style>
  <w:style w:type="character" w:styleId="Hyperlink">
    <w:name w:val="Hyperlink"/>
    <w:basedOn w:val="DefaultParagraphFont"/>
    <w:uiPriority w:val="99"/>
    <w:unhideWhenUsed/>
    <w:rsid w:val="0068316C"/>
    <w:rPr>
      <w:color w:val="0000FF" w:themeColor="hyperlink"/>
      <w:u w:val="single"/>
    </w:rPr>
  </w:style>
  <w:style w:type="character" w:styleId="UnresolvedMention">
    <w:name w:val="Unresolved Mention"/>
    <w:basedOn w:val="DefaultParagraphFont"/>
    <w:uiPriority w:val="99"/>
    <w:semiHidden/>
    <w:unhideWhenUsed/>
    <w:rsid w:val="0068316C"/>
    <w:rPr>
      <w:color w:val="605E5C"/>
      <w:shd w:val="clear" w:color="auto" w:fill="E1DFDD"/>
    </w:rPr>
  </w:style>
  <w:style w:type="character" w:styleId="FollowedHyperlink">
    <w:name w:val="FollowedHyperlink"/>
    <w:basedOn w:val="DefaultParagraphFont"/>
    <w:uiPriority w:val="99"/>
    <w:semiHidden/>
    <w:unhideWhenUsed/>
    <w:rsid w:val="00E8441E"/>
    <w:rPr>
      <w:color w:val="800080" w:themeColor="followedHyperlink"/>
      <w:u w:val="single"/>
    </w:rPr>
  </w:style>
  <w:style w:type="paragraph" w:styleId="Header">
    <w:name w:val="header"/>
    <w:basedOn w:val="Normal"/>
    <w:link w:val="HeaderChar"/>
    <w:uiPriority w:val="99"/>
    <w:unhideWhenUsed/>
    <w:rsid w:val="00CB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68E"/>
  </w:style>
  <w:style w:type="paragraph" w:styleId="Footer">
    <w:name w:val="footer"/>
    <w:basedOn w:val="Normal"/>
    <w:link w:val="FooterChar"/>
    <w:uiPriority w:val="99"/>
    <w:unhideWhenUsed/>
    <w:rsid w:val="00CB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5228-671D-49B4-A406-C27ABF25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Webster</dc:creator>
  <cp:keywords/>
  <dc:description/>
  <cp:lastModifiedBy>Lauren Webster</cp:lastModifiedBy>
  <cp:revision>3</cp:revision>
  <cp:lastPrinted>2019-10-11T21:25:00Z</cp:lastPrinted>
  <dcterms:created xsi:type="dcterms:W3CDTF">2019-11-13T15:52:00Z</dcterms:created>
  <dcterms:modified xsi:type="dcterms:W3CDTF">2019-11-13T20:54:00Z</dcterms:modified>
</cp:coreProperties>
</file>