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0D48" w14:textId="77777777" w:rsidR="00D92438" w:rsidRPr="00D92438" w:rsidRDefault="00D92438" w:rsidP="00D92438">
      <w:pPr>
        <w:pBdr>
          <w:bottom w:val="single" w:sz="12" w:space="1" w:color="auto"/>
        </w:pBdr>
        <w:spacing w:after="0" w:line="240" w:lineRule="auto"/>
        <w:rPr>
          <w:rFonts w:ascii="Times New Roman" w:eastAsia="Calibri" w:hAnsi="Times New Roman" w:cs="Times New Roman"/>
          <w:sz w:val="24"/>
          <w:szCs w:val="24"/>
        </w:rPr>
      </w:pPr>
    </w:p>
    <w:p w14:paraId="11617E91" w14:textId="77777777" w:rsidR="00D92438" w:rsidRPr="00D92438" w:rsidRDefault="00D92438" w:rsidP="00D92438">
      <w:pPr>
        <w:spacing w:after="0" w:line="240" w:lineRule="auto"/>
        <w:rPr>
          <w:rFonts w:ascii="Times New Roman" w:eastAsia="Calibri" w:hAnsi="Times New Roman" w:cs="Times New Roman"/>
          <w:b/>
          <w:caps/>
          <w:sz w:val="24"/>
          <w:szCs w:val="24"/>
        </w:rPr>
      </w:pPr>
    </w:p>
    <w:p w14:paraId="64413A72" w14:textId="77777777" w:rsidR="00D92438" w:rsidRPr="00D92438" w:rsidRDefault="00D92438" w:rsidP="00D92438">
      <w:pPr>
        <w:spacing w:after="0" w:line="240" w:lineRule="auto"/>
        <w:rPr>
          <w:rFonts w:ascii="Times New Roman" w:eastAsia="Calibri" w:hAnsi="Times New Roman" w:cs="Times New Roman"/>
          <w:b/>
          <w:caps/>
          <w:sz w:val="24"/>
          <w:szCs w:val="24"/>
        </w:rPr>
      </w:pPr>
      <w:r w:rsidRPr="00D92438">
        <w:rPr>
          <w:rFonts w:ascii="Times New Roman" w:eastAsia="Calibri" w:hAnsi="Times New Roman" w:cs="Times New Roman"/>
          <w:b/>
          <w:caps/>
          <w:sz w:val="24"/>
          <w:szCs w:val="24"/>
        </w:rPr>
        <w:t>United States District Court</w:t>
      </w:r>
      <w:r w:rsidRPr="00D92438">
        <w:rPr>
          <w:rFonts w:ascii="Times New Roman" w:eastAsia="Calibri" w:hAnsi="Times New Roman" w:cs="Times New Roman"/>
          <w:b/>
          <w:caps/>
          <w:sz w:val="24"/>
          <w:szCs w:val="24"/>
        </w:rPr>
        <w:tab/>
      </w:r>
      <w:r w:rsidRPr="00D92438">
        <w:rPr>
          <w:rFonts w:ascii="Times New Roman" w:eastAsia="Calibri" w:hAnsi="Times New Roman" w:cs="Times New Roman"/>
          <w:b/>
          <w:caps/>
          <w:sz w:val="24"/>
          <w:szCs w:val="24"/>
        </w:rPr>
        <w:tab/>
        <w:t xml:space="preserve">        Southern District of Texas</w:t>
      </w:r>
    </w:p>
    <w:p w14:paraId="356C02FA" w14:textId="77777777" w:rsidR="00D92438" w:rsidRPr="00D92438" w:rsidRDefault="00D92438" w:rsidP="00D92438">
      <w:pPr>
        <w:spacing w:after="0" w:line="240" w:lineRule="auto"/>
        <w:ind w:left="360"/>
        <w:rPr>
          <w:rFonts w:ascii="Times New Roman" w:eastAsia="Calibri" w:hAnsi="Times New Roman" w:cs="Times New Roman"/>
          <w:b/>
          <w:caps/>
          <w:sz w:val="24"/>
          <w:szCs w:val="24"/>
        </w:rPr>
      </w:pPr>
      <w:r w:rsidRPr="00D92438">
        <w:rPr>
          <w:rFonts w:ascii="Times New Roman" w:eastAsia="Calibri" w:hAnsi="Times New Roman" w:cs="Times New Roman"/>
          <w:b/>
          <w:caps/>
          <w:sz w:val="24"/>
          <w:szCs w:val="24"/>
        </w:rPr>
        <w:tab/>
      </w:r>
      <w:r w:rsidRPr="00D92438">
        <w:rPr>
          <w:rFonts w:ascii="Times New Roman" w:eastAsia="Calibri" w:hAnsi="Times New Roman" w:cs="Times New Roman"/>
          <w:b/>
          <w:caps/>
          <w:sz w:val="24"/>
          <w:szCs w:val="24"/>
        </w:rPr>
        <w:tab/>
      </w:r>
      <w:r w:rsidRPr="00D92438">
        <w:rPr>
          <w:rFonts w:ascii="Times New Roman" w:eastAsia="Calibri" w:hAnsi="Times New Roman" w:cs="Times New Roman"/>
          <w:b/>
          <w:caps/>
          <w:sz w:val="24"/>
          <w:szCs w:val="24"/>
        </w:rPr>
        <w:tab/>
      </w:r>
      <w:r w:rsidRPr="00D92438">
        <w:rPr>
          <w:rFonts w:ascii="Times New Roman" w:eastAsia="Calibri" w:hAnsi="Times New Roman" w:cs="Times New Roman"/>
          <w:b/>
          <w:caps/>
          <w:sz w:val="24"/>
          <w:szCs w:val="24"/>
        </w:rPr>
        <w:tab/>
      </w:r>
      <w:r w:rsidRPr="00D92438">
        <w:rPr>
          <w:rFonts w:ascii="Times New Roman" w:eastAsia="Calibri" w:hAnsi="Times New Roman" w:cs="Times New Roman"/>
          <w:b/>
          <w:caps/>
          <w:sz w:val="24"/>
          <w:szCs w:val="24"/>
        </w:rPr>
        <w:tab/>
      </w:r>
      <w:r w:rsidRPr="00D92438">
        <w:rPr>
          <w:rFonts w:ascii="Times New Roman" w:eastAsia="Calibri" w:hAnsi="Times New Roman" w:cs="Times New Roman"/>
          <w:b/>
          <w:caps/>
          <w:sz w:val="24"/>
          <w:szCs w:val="24"/>
        </w:rPr>
        <w:tab/>
      </w:r>
      <w:r w:rsidRPr="00D92438">
        <w:rPr>
          <w:rFonts w:ascii="Times New Roman" w:eastAsia="Calibri" w:hAnsi="Times New Roman" w:cs="Times New Roman"/>
          <w:b/>
          <w:caps/>
          <w:sz w:val="24"/>
          <w:szCs w:val="24"/>
        </w:rPr>
        <w:tab/>
        <w:t xml:space="preserve">        Brownsville Division</w:t>
      </w:r>
    </w:p>
    <w:p w14:paraId="0BBB0950" w14:textId="77777777" w:rsidR="00D92438" w:rsidRPr="00D92438" w:rsidRDefault="00D92438" w:rsidP="00D92438">
      <w:pPr>
        <w:pBdr>
          <w:bottom w:val="single" w:sz="12" w:space="1" w:color="auto"/>
        </w:pBdr>
        <w:spacing w:after="0" w:line="240" w:lineRule="auto"/>
        <w:rPr>
          <w:rFonts w:ascii="Times New Roman" w:eastAsia="Calibri" w:hAnsi="Times New Roman" w:cs="Times New Roman"/>
          <w:sz w:val="24"/>
          <w:szCs w:val="24"/>
        </w:rPr>
      </w:pPr>
    </w:p>
    <w:p w14:paraId="21610965" w14:textId="77777777" w:rsidR="00D92438" w:rsidRPr="00D92438" w:rsidRDefault="00D92438" w:rsidP="00D92438">
      <w:pPr>
        <w:spacing w:after="0" w:line="240" w:lineRule="auto"/>
        <w:rPr>
          <w:rFonts w:ascii="Times New Roman" w:eastAsia="Calibri" w:hAnsi="Times New Roman" w:cs="Times New Roman"/>
          <w:sz w:val="24"/>
          <w:szCs w:val="24"/>
        </w:rPr>
      </w:pPr>
    </w:p>
    <w:p w14:paraId="22B23E89" w14:textId="77777777" w:rsidR="00D92438" w:rsidRPr="00D92438" w:rsidRDefault="00D92438" w:rsidP="00D92438">
      <w:pPr>
        <w:spacing w:after="0" w:line="240" w:lineRule="auto"/>
        <w:rPr>
          <w:rFonts w:ascii="Times New Roman" w:eastAsia="Calibri" w:hAnsi="Times New Roman" w:cs="Times New Roman"/>
          <w:sz w:val="24"/>
          <w:szCs w:val="24"/>
        </w:rPr>
      </w:pPr>
    </w:p>
    <w:p w14:paraId="2B15D541" w14:textId="77777777" w:rsidR="00D92438" w:rsidRPr="00D92438" w:rsidRDefault="00D92438" w:rsidP="00D92438">
      <w:pPr>
        <w:spacing w:after="0" w:line="240" w:lineRule="auto"/>
        <w:jc w:val="center"/>
        <w:rPr>
          <w:rFonts w:ascii="Times New Roman" w:eastAsia="Calibri" w:hAnsi="Times New Roman" w:cs="Times New Roman"/>
          <w:b/>
          <w:sz w:val="30"/>
          <w:szCs w:val="30"/>
        </w:rPr>
      </w:pPr>
      <w:r w:rsidRPr="00D92438">
        <w:rPr>
          <w:rFonts w:ascii="Times New Roman" w:eastAsia="Calibri" w:hAnsi="Times New Roman" w:cs="Times New Roman"/>
          <w:b/>
          <w:sz w:val="30"/>
          <w:szCs w:val="30"/>
        </w:rPr>
        <w:t>Courtroom Etiquette</w:t>
      </w:r>
    </w:p>
    <w:p w14:paraId="7FA2DD06" w14:textId="77777777" w:rsidR="00D92438" w:rsidRPr="00D92438" w:rsidRDefault="00D92438" w:rsidP="00D92438">
      <w:pPr>
        <w:spacing w:after="0" w:line="240" w:lineRule="auto"/>
        <w:rPr>
          <w:rFonts w:ascii="Times New Roman" w:eastAsia="Calibri" w:hAnsi="Times New Roman" w:cs="Times New Roman"/>
          <w:sz w:val="24"/>
          <w:szCs w:val="24"/>
        </w:rPr>
      </w:pPr>
    </w:p>
    <w:p w14:paraId="26063B26" w14:textId="77777777" w:rsidR="00D92438" w:rsidRPr="00D92438" w:rsidRDefault="00D92438" w:rsidP="00D92438">
      <w:pPr>
        <w:spacing w:after="0" w:line="240" w:lineRule="auto"/>
        <w:rPr>
          <w:rFonts w:ascii="Times New Roman" w:eastAsia="Calibri" w:hAnsi="Times New Roman" w:cs="Times New Roman"/>
          <w:sz w:val="24"/>
          <w:szCs w:val="24"/>
        </w:rPr>
      </w:pPr>
      <w:r w:rsidRPr="00D92438">
        <w:rPr>
          <w:rFonts w:ascii="Times New Roman" w:eastAsia="Calibri" w:hAnsi="Times New Roman" w:cs="Times New Roman"/>
          <w:sz w:val="24"/>
          <w:szCs w:val="24"/>
        </w:rPr>
        <w:t>People who appear before this Court must observe these conventions of courteous, orderly behavior:</w:t>
      </w:r>
    </w:p>
    <w:p w14:paraId="5817DFF8" w14:textId="77777777" w:rsidR="00D92438" w:rsidRPr="00D92438" w:rsidRDefault="00D92438" w:rsidP="00D92438">
      <w:pPr>
        <w:spacing w:after="0" w:line="240" w:lineRule="auto"/>
        <w:rPr>
          <w:rFonts w:ascii="Times New Roman" w:eastAsia="Calibri" w:hAnsi="Times New Roman" w:cs="Times New Roman"/>
          <w:sz w:val="24"/>
          <w:szCs w:val="24"/>
        </w:rPr>
      </w:pPr>
    </w:p>
    <w:p w14:paraId="26F80BA8"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Be punctual.</w:t>
      </w:r>
    </w:p>
    <w:p w14:paraId="14E3E85A"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sz w:val="24"/>
          <w:szCs w:val="20"/>
        </w:rPr>
      </w:pPr>
    </w:p>
    <w:p w14:paraId="065580A4"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Remain in attendance until excused.  All relevant persons seated before the bar in the courtroom area must remain at counsel table during each session and return after each recess.  Parties and counsel must remain in attendance during jury deliberations.</w:t>
      </w:r>
    </w:p>
    <w:p w14:paraId="1934D30C"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sz w:val="24"/>
          <w:szCs w:val="20"/>
        </w:rPr>
      </w:pPr>
    </w:p>
    <w:p w14:paraId="1A912111"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Dress with dignity.</w:t>
      </w:r>
    </w:p>
    <w:p w14:paraId="4CAE5B5F"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sz w:val="24"/>
          <w:szCs w:val="20"/>
        </w:rPr>
      </w:pPr>
    </w:p>
    <w:p w14:paraId="57F42F51"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Address the Court as “your honor” or “Judge” and others only by their titles, if applicable, and surnames, including lawyers, witnesses, and court personnel.</w:t>
      </w:r>
    </w:p>
    <w:p w14:paraId="4DC80E2B"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sz w:val="24"/>
          <w:szCs w:val="20"/>
        </w:rPr>
      </w:pPr>
    </w:p>
    <w:p w14:paraId="0ED45600"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Unless instructed otherwise, stand when the Court speaks to you and when you speak to the Court.  Stand when the judge or jury enters or leaves the courtroom.</w:t>
      </w:r>
    </w:p>
    <w:p w14:paraId="02F3F154"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sz w:val="24"/>
          <w:szCs w:val="20"/>
        </w:rPr>
      </w:pPr>
    </w:p>
    <w:p w14:paraId="637DE740"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 xml:space="preserve">Approaching the bench should be limited, and permission to approach must first be granted by the Court.  </w:t>
      </w:r>
    </w:p>
    <w:p w14:paraId="701D63E2"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sz w:val="24"/>
          <w:szCs w:val="20"/>
        </w:rPr>
      </w:pPr>
    </w:p>
    <w:p w14:paraId="328DB995"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Hand all documents or items tendered for examination by the judge to the Case Manager only.</w:t>
      </w:r>
    </w:p>
    <w:p w14:paraId="021552F0"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71B7172"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If you expect to be called as a witness, do not participate in a trial without prior permission of the Court.</w:t>
      </w:r>
    </w:p>
    <w:p w14:paraId="42DBD4FE"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Times New Roman" w:eastAsia="Times New Roman" w:hAnsi="Times New Roman" w:cs="Times New Roman"/>
          <w:sz w:val="24"/>
          <w:szCs w:val="20"/>
        </w:rPr>
      </w:pPr>
    </w:p>
    <w:p w14:paraId="0686F60D"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 xml:space="preserve">Avoid disparaging remarks and acrimony toward counsel and discourage ill will between the litigants.  </w:t>
      </w:r>
    </w:p>
    <w:p w14:paraId="0299F67E" w14:textId="77777777" w:rsidR="00D92438" w:rsidRPr="00D92438" w:rsidRDefault="00D92438" w:rsidP="00D92438">
      <w:pPr>
        <w:widowControl w:val="0"/>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791E1DD" w14:textId="77777777" w:rsidR="00D92438" w:rsidRPr="00D92438" w:rsidRDefault="00D92438" w:rsidP="00D92438">
      <w:pPr>
        <w:widowControl w:val="0"/>
        <w:numPr>
          <w:ilvl w:val="0"/>
          <w:numId w:val="1"/>
        </w:num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9"/>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450"/>
        <w:jc w:val="both"/>
        <w:rPr>
          <w:rFonts w:ascii="Times New Roman" w:eastAsia="Times New Roman" w:hAnsi="Times New Roman" w:cs="Times New Roman"/>
          <w:sz w:val="24"/>
          <w:szCs w:val="20"/>
        </w:rPr>
      </w:pPr>
      <w:r w:rsidRPr="00D92438">
        <w:rPr>
          <w:rFonts w:ascii="Times New Roman" w:eastAsia="Times New Roman" w:hAnsi="Times New Roman" w:cs="Times New Roman"/>
          <w:sz w:val="24"/>
          <w:szCs w:val="20"/>
        </w:rPr>
        <w:t>Counsel must advise their clients, witnesses, and associate counsel about proper courtroom behavior and pertinent rulings of the Court.</w:t>
      </w:r>
    </w:p>
    <w:p w14:paraId="6292CDED" w14:textId="77777777" w:rsidR="00D92438" w:rsidRPr="00D92438" w:rsidRDefault="00D92438" w:rsidP="00D92438">
      <w:pPr>
        <w:spacing w:after="0" w:line="240" w:lineRule="auto"/>
        <w:rPr>
          <w:rFonts w:ascii="Times New Roman" w:eastAsia="Calibri" w:hAnsi="Times New Roman" w:cs="Times New Roman"/>
          <w:sz w:val="24"/>
          <w:szCs w:val="24"/>
        </w:rPr>
      </w:pPr>
    </w:p>
    <w:p w14:paraId="24D052A1" w14:textId="77777777" w:rsidR="00674C9D" w:rsidRDefault="00D92438"/>
    <w:sectPr w:rsidR="00674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6C88"/>
    <w:multiLevelType w:val="hybridMultilevel"/>
    <w:tmpl w:val="DF6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38"/>
    <w:rsid w:val="00123B3A"/>
    <w:rsid w:val="006C1EFC"/>
    <w:rsid w:val="00D9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B1EA"/>
  <w15:chartTrackingRefBased/>
  <w15:docId w15:val="{3048F17D-F68F-46BF-BADA-AAEA148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Mercado</dc:creator>
  <cp:keywords/>
  <dc:description/>
  <cp:lastModifiedBy>Mauricio Mercado</cp:lastModifiedBy>
  <cp:revision>1</cp:revision>
  <dcterms:created xsi:type="dcterms:W3CDTF">2022-10-06T15:30:00Z</dcterms:created>
  <dcterms:modified xsi:type="dcterms:W3CDTF">2022-10-06T15:32:00Z</dcterms:modified>
</cp:coreProperties>
</file>