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0.0.0 -->
  <w:body>
    <w:p w:rsidR="001675F8" w:rsidP="001675F8">
      <w:pPr>
        <w:pStyle w:val="SGText03BodyJustifyDbl"/>
        <w:ind w:firstLine="720"/>
        <w:jc w:val="center"/>
        <w:rPr>
          <w:b/>
        </w:rPr>
      </w:pPr>
      <w:r>
        <w:rPr>
          <w:b/>
        </w:rPr>
        <w:t>(Style of Case)</w:t>
      </w:r>
    </w:p>
    <w:p w:rsidR="001675F8" w:rsidP="001675F8">
      <w:pPr>
        <w:pStyle w:val="SGText03BodyJustifyDbl"/>
        <w:jc w:val="center"/>
      </w:pPr>
      <w:r>
        <w:rPr>
          <w:b/>
        </w:rPr>
        <w:t>PRETRIAL AGREEMENTS WITH OPPOSING COUNSEL</w:t>
      </w:r>
      <w:r w:rsidR="00130DCC">
        <w:rPr>
          <w:b/>
        </w:rPr>
        <w:t>*</w:t>
      </w:r>
    </w:p>
    <w:p w:rsidR="001675F8" w:rsidP="001675F8">
      <w:pPr>
        <w:pStyle w:val="SGText03BodyJustifyDbl"/>
        <w:ind w:firstLine="720"/>
      </w:pPr>
      <w:r>
        <w:t>Here is a list of pretrial agreements to try to reach with the other side before discovery begins.  These agreements will make life easier for both sides and do not advantage one side over the other.  Waiting until you are in the heat of battle to try to reach these agreements, one side or the other will feel disadvantaged.  Place a check mark in the “Agreed” column for all the agreements that are reached.  Any modifications or additions should be noted.</w:t>
      </w:r>
    </w:p>
    <w:p w:rsidR="001675F8" w:rsidP="001675F8">
      <w:pPr>
        <w:pStyle w:val="SGText03BodyJustifyDbl"/>
        <w:spacing w:line="240" w:lineRule="auto"/>
        <w:sectPr>
          <w:headerReference w:type="default" r:id="rId4"/>
          <w:footerReference w:type="even" r:id="rId5"/>
          <w:footerReference w:type="default" r:id="rId6"/>
          <w:footerReference w:type="first" r:id="rId7"/>
          <w:type w:val="continuous"/>
          <w:pgSz w:w="12240" w:h="15840"/>
          <w:pgMar w:top="1440" w:right="1440" w:bottom="1440" w:left="1440" w:header="720" w:footer="720" w:gutter="0"/>
          <w:cols w:space="720"/>
          <w:docGrid w:linePitch="360"/>
        </w:sect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5608"/>
        <w:gridCol w:w="990"/>
        <w:gridCol w:w="2178"/>
      </w:tblGrid>
      <w:tr w:rsidTr="008264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807" w:type="dxa"/>
            <w:shd w:val="clear" w:color="auto" w:fill="auto"/>
            <w:tcMar>
              <w:top w:w="43" w:type="dxa"/>
              <w:left w:w="115" w:type="dxa"/>
              <w:bottom w:w="43" w:type="dxa"/>
              <w:right w:w="115" w:type="dxa"/>
            </w:tcMar>
          </w:tcPr>
          <w:p w:rsidR="001675F8" w:rsidRPr="00DA01E8" w:rsidP="00826451">
            <w:pPr>
              <w:pStyle w:val="SGText03BodyJustifyDbl"/>
              <w:spacing w:line="240" w:lineRule="auto"/>
              <w:jc w:val="center"/>
              <w:rPr>
                <w:b/>
              </w:rPr>
            </w:pPr>
            <w:r w:rsidRPr="00DA01E8">
              <w:rPr>
                <w:b/>
              </w:rPr>
              <w:t>Item No.</w:t>
            </w:r>
          </w:p>
        </w:tc>
        <w:tc>
          <w:tcPr>
            <w:tcW w:w="5608" w:type="dxa"/>
            <w:shd w:val="clear" w:color="auto" w:fill="auto"/>
            <w:tcMar>
              <w:top w:w="43" w:type="dxa"/>
              <w:left w:w="115" w:type="dxa"/>
              <w:bottom w:w="43" w:type="dxa"/>
              <w:right w:w="115" w:type="dxa"/>
            </w:tcMar>
          </w:tcPr>
          <w:p w:rsidR="001675F8" w:rsidRPr="00DA01E8" w:rsidP="00826451">
            <w:pPr>
              <w:pStyle w:val="SGText03BodyJustifyDbl"/>
              <w:spacing w:line="240" w:lineRule="auto"/>
              <w:jc w:val="center"/>
              <w:rPr>
                <w:b/>
              </w:rPr>
            </w:pPr>
          </w:p>
          <w:p w:rsidR="001675F8" w:rsidRPr="00DA01E8" w:rsidP="00826451">
            <w:pPr>
              <w:pStyle w:val="SGText03BodyJustifyDbl"/>
              <w:spacing w:line="240" w:lineRule="auto"/>
              <w:jc w:val="center"/>
              <w:rPr>
                <w:b/>
              </w:rPr>
            </w:pPr>
            <w:r w:rsidRPr="00DA01E8">
              <w:rPr>
                <w:b/>
              </w:rPr>
              <w:t>Description</w:t>
            </w:r>
          </w:p>
        </w:tc>
        <w:tc>
          <w:tcPr>
            <w:tcW w:w="990" w:type="dxa"/>
            <w:shd w:val="clear" w:color="auto" w:fill="auto"/>
            <w:tcMar>
              <w:top w:w="43" w:type="dxa"/>
              <w:left w:w="115" w:type="dxa"/>
              <w:bottom w:w="43" w:type="dxa"/>
              <w:right w:w="115" w:type="dxa"/>
            </w:tcMar>
          </w:tcPr>
          <w:p w:rsidR="001675F8" w:rsidRPr="00DA01E8" w:rsidP="00826451">
            <w:pPr>
              <w:pStyle w:val="SGText03BodyJustifyDbl"/>
              <w:spacing w:line="240" w:lineRule="auto"/>
              <w:jc w:val="center"/>
              <w:rPr>
                <w:b/>
              </w:rPr>
            </w:pPr>
          </w:p>
          <w:p w:rsidR="001675F8" w:rsidRPr="00DA01E8" w:rsidP="00826451">
            <w:pPr>
              <w:pStyle w:val="SGText03BodyJustifyDbl"/>
              <w:spacing w:line="240" w:lineRule="auto"/>
              <w:jc w:val="center"/>
              <w:rPr>
                <w:b/>
              </w:rPr>
            </w:pPr>
            <w:r w:rsidRPr="00DA01E8">
              <w:rPr>
                <w:b/>
              </w:rPr>
              <w:t>Agreed</w:t>
            </w:r>
          </w:p>
        </w:tc>
        <w:tc>
          <w:tcPr>
            <w:tcW w:w="2178" w:type="dxa"/>
            <w:shd w:val="clear" w:color="auto" w:fill="auto"/>
          </w:tcPr>
          <w:p w:rsidR="001675F8" w:rsidRPr="00DA01E8" w:rsidP="00826451">
            <w:pPr>
              <w:pStyle w:val="SGText03BodyJustifyDbl"/>
              <w:spacing w:line="240" w:lineRule="auto"/>
              <w:jc w:val="center"/>
              <w:rPr>
                <w:b/>
              </w:rPr>
            </w:pPr>
            <w:r w:rsidRPr="00DA01E8">
              <w:rPr>
                <w:b/>
              </w:rPr>
              <w:t>Source of</w:t>
            </w:r>
          </w:p>
          <w:p w:rsidR="001675F8" w:rsidRPr="00DA01E8" w:rsidP="00826451">
            <w:pPr>
              <w:pStyle w:val="SGText03BodyJustifyDbl"/>
              <w:spacing w:line="240" w:lineRule="auto"/>
              <w:jc w:val="center"/>
              <w:rPr>
                <w:b/>
              </w:rPr>
            </w:pPr>
            <w:r w:rsidRPr="00DA01E8">
              <w:rPr>
                <w:b/>
              </w:rPr>
              <w:t>Agreement</w:t>
            </w: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As to any discovery dispute, the lead lawyers will try to resolve by phone and no one will write letters to the other, including letters attached as pdf's to emails: just e-mails and phone calls.  Each side will copy all of its emails to the email group distribution list provided by the other side</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Before depositions begin, we will try to agree on how long the trial will last and ask the Court to give us a firm trial setting and to establish the length of the trial.  Whatever time is allotted will be divided equally.</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9A3290">
            <w:pPr>
              <w:pStyle w:val="SGText03BodyJustifyDbl"/>
              <w:spacing w:line="240" w:lineRule="auto"/>
            </w:pPr>
            <w:r>
              <w:t>Depositions will be taken by agreement, with both sides alternating</w:t>
            </w:r>
            <w:r w:rsidR="009B281B">
              <w:t xml:space="preserve"> </w:t>
            </w:r>
            <w:r w:rsidR="00DB24A4">
              <w:t xml:space="preserve">if possible </w:t>
            </w:r>
            <w:r>
              <w:t xml:space="preserve">and trying in advance to agree upon the dates for depositions, even before the deponents are identified.  Each side gets </w:t>
            </w:r>
            <w:r w:rsidR="009A3290">
              <w:t xml:space="preserve">a total of </w:t>
            </w:r>
            <w:r>
              <w:t>___ hours to depose fact witnesses and only one of such depositions can last more than 3 hours.  This does not include 30(b)6 depositions.</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At depositions, all objections to relevance, lack of foundation, non-responsiveness, speculation or to the form of the question will</w:t>
            </w:r>
            <w:r w:rsidR="009A3290">
              <w:t>, if requested by the deposition taker,</w:t>
            </w:r>
            <w:r>
              <w:t xml:space="preserve"> be reserved until trial, so there will be no reason for the defending lawyer to say anything other than to advise the client to assert a privilege or to adjourn the deposition because the questioner is improperly harassing the witness.  If counsel violate this agreement, the other side can play counsel’s comments/objections to the jury</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 xml:space="preserve">The parties will use the same court reporter/videographer, who </w:t>
            </w:r>
            <w:r w:rsidR="009A3290">
              <w:t xml:space="preserve">they will urge </w:t>
            </w:r>
            <w:r>
              <w:t xml:space="preserve"> to provide specified services at discounted prices for the right to transcribe all depositions.</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All papers will be served on the opposing party by e-mail.  For purposes of calculating the deadline to respond, email service will be treated the same as hand –delivery</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Documents will be produced on a rolling basis as soon as they have been located and numbered; if copies are produced, the originals will be made available for inspection upon request.</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RPr="00DA01E8" w:rsidP="00826451">
            <w:pPr>
              <w:pStyle w:val="NormalWeb"/>
              <w:rPr>
                <w:lang w:val="en"/>
              </w:rPr>
            </w:pPr>
            <w:r w:rsidRPr="00DA01E8">
              <w:rPr>
                <w:lang w:val="en"/>
              </w:rPr>
              <w:t>If the case is in federal court, the parties will seek an order fr</w:t>
            </w:r>
            <w:r>
              <w:rPr>
                <w:lang w:val="en"/>
              </w:rPr>
              <w:t>om the court, under FRE 502(d),</w:t>
            </w:r>
            <w:r w:rsidRPr="00DA01E8">
              <w:rPr>
                <w:lang w:val="en"/>
              </w:rPr>
              <w:t xml:space="preserve"> providing:  Each side must initially produce electronically stored information from the files of 5 custodians selected by the other side during an agreed period of time.   Only documents </w:t>
            </w:r>
            <w:r w:rsidR="00B64A26">
              <w:rPr>
                <w:lang w:val="en"/>
              </w:rPr>
              <w:t>that</w:t>
            </w:r>
            <w:r w:rsidRPr="00DA01E8">
              <w:rPr>
                <w:lang w:val="en"/>
              </w:rPr>
              <w:t xml:space="preserve"> have a lawyer's name on them can be withheld from production and only if they are in fact privileged. Production does not waive any privilege and documents can be snapped back whenever the producing party recognizes they are privileged. After analyzing the initial production, each side can request electronic files from 5 other custodians.  Beyond that, good cause must be demonstrated.  </w:t>
            </w:r>
          </w:p>
          <w:p w:rsidR="001675F8" w:rsidRPr="00DA01E8" w:rsidP="00826451">
            <w:pPr>
              <w:pStyle w:val="NormalWeb"/>
              <w:rPr>
                <w:lang w:val="en"/>
              </w:rPr>
            </w:pPr>
            <w:r>
              <w:t xml:space="preserve"> Whether in federal court or not, the parties will produce ESI in the native format kept by the producing party, or in a common interchange format, such as Outlook/PST, Concordance or Summation,</w:t>
            </w:r>
            <w:r w:rsidRPr="00DA01E8">
              <w:rPr>
                <w:lang w:val="en"/>
              </w:rPr>
              <w:t xml:space="preserve"> so it can be searched by the other side.  If any special software is required to conduct a search in native format and is regularly used by the producing party, it must be made available to the other side</w:t>
            </w:r>
            <w:r w:rsidR="00B64A26">
              <w:rPr>
                <w:lang w:val="en"/>
              </w:rPr>
              <w:t xml:space="preserve"> (at that side’s expense, if any)</w:t>
            </w:r>
            <w:r w:rsidRPr="00DA01E8">
              <w:rPr>
                <w:lang w:val="en"/>
              </w:rPr>
              <w:t xml:space="preserve">.  </w:t>
            </w:r>
            <w:r>
              <w:t>The parties will produce a Bates numbered file listing of the file names and directory structure of what is on any CDs or DVDs exchanged.  Either side may use an e-mail or an attachment to an e-mail that came from one of these previously produced disks by printing out the entire e</w:t>
            </w:r>
            <w:r>
              <w:noBreakHyphen/>
              <w:t>mail (and the attachment if they are using a file that came with an e-mail) and marking it at the deposition or trial, and either side may use application data (which was not an attachment to e-mail–so it’s stand-alone on a CD or DVD) as long as the footer on the pages or a cover sheet indicates (1) the CD or DVD from whence it came, (2) the directory or subdirectory where the file was located on the CD or DVD, and (3) the name of the file itself including the file extension.</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If agreement cannot be reached on the form of a protective order within 48 hours of the time they are exchanged, both sides will write a letter to the Court including each other’s preferred version and, without argument, ask Court to select one or the other ASAP.</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All deposition exhibits will be numbered sequentially X-1, X-2, etc., regardless of the identity of the deponent or the side introducing the exhibit and the same numbers will be used in pretrial motions and at trial.</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The parties will share the expense of imaging all deposition exhibits.</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We will exchange expert witness reports that provide the disclosures required by the Federal Rules.  Neither side will be entitled to discovery of communications between counsel and expert witnesses or to drafts of experts’ reports.  There will be no depositions of experts unless an expert’s report is incomprehensible or incomplete, in which case the party seeking clarification is required to establish the same by motion filed with the Court</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The production of a privileged document does not waive the privilege as to other privileged documents.  Documents that the other side claims are privileged can be snapped back as soon as it is discovered they were produced without any need to show the production was inadvertent.</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 xml:space="preserve">Each side has the right to select 20 documents </w:t>
            </w:r>
            <w:r w:rsidR="00B64A26">
              <w:t>from</w:t>
            </w:r>
            <w:r>
              <w:t xml:space="preserve"> the other’s privilege list for submission to the court for in camera inspection.</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r w:rsidTr="00826451">
        <w:tblPrEx>
          <w:tblW w:w="0" w:type="auto"/>
          <w:tblLook w:val="01E0"/>
        </w:tblPrEx>
        <w:tc>
          <w:tcPr>
            <w:tcW w:w="807" w:type="dxa"/>
            <w:shd w:val="clear" w:color="auto" w:fill="auto"/>
            <w:tcMar>
              <w:top w:w="43" w:type="dxa"/>
              <w:left w:w="115" w:type="dxa"/>
              <w:bottom w:w="43" w:type="dxa"/>
              <w:right w:w="115" w:type="dxa"/>
            </w:tcMar>
          </w:tcPr>
          <w:p w:rsidR="001675F8" w:rsidP="00826451">
            <w:pPr>
              <w:pStyle w:val="SGText03BodyJustifyDbl"/>
              <w:numPr>
                <w:ilvl w:val="0"/>
                <w:numId w:val="15"/>
              </w:numPr>
              <w:spacing w:line="240" w:lineRule="auto"/>
              <w:jc w:val="center"/>
            </w:pPr>
          </w:p>
        </w:tc>
        <w:tc>
          <w:tcPr>
            <w:tcW w:w="5608" w:type="dxa"/>
            <w:shd w:val="clear" w:color="auto" w:fill="auto"/>
            <w:tcMar>
              <w:top w:w="43" w:type="dxa"/>
              <w:left w:w="115" w:type="dxa"/>
              <w:bottom w:w="43" w:type="dxa"/>
              <w:right w:w="115" w:type="dxa"/>
            </w:tcMar>
          </w:tcPr>
          <w:p w:rsidR="001675F8" w:rsidP="00826451">
            <w:pPr>
              <w:pStyle w:val="SGText03BodyJustifyDbl"/>
              <w:spacing w:line="240" w:lineRule="auto"/>
            </w:pPr>
            <w:r>
              <w:t>We will agree to a briefing schedule and page limitations for all pretrial motions.</w:t>
            </w:r>
          </w:p>
        </w:tc>
        <w:tc>
          <w:tcPr>
            <w:tcW w:w="990" w:type="dxa"/>
            <w:shd w:val="clear" w:color="auto" w:fill="auto"/>
            <w:tcMar>
              <w:top w:w="43" w:type="dxa"/>
              <w:left w:w="115" w:type="dxa"/>
              <w:bottom w:w="43" w:type="dxa"/>
              <w:right w:w="115" w:type="dxa"/>
            </w:tcMar>
          </w:tcPr>
          <w:p w:rsidR="001675F8" w:rsidP="00826451">
            <w:pPr>
              <w:pStyle w:val="SGText03BodyJustifyDbl"/>
              <w:spacing w:line="240" w:lineRule="auto"/>
            </w:pPr>
          </w:p>
        </w:tc>
        <w:tc>
          <w:tcPr>
            <w:tcW w:w="2178" w:type="dxa"/>
            <w:shd w:val="clear" w:color="auto" w:fill="auto"/>
          </w:tcPr>
          <w:p w:rsidR="001675F8" w:rsidP="00826451">
            <w:pPr>
              <w:pStyle w:val="SGText03BodyJustifyDbl"/>
              <w:spacing w:line="240" w:lineRule="auto"/>
            </w:pPr>
          </w:p>
        </w:tc>
      </w:tr>
    </w:tbl>
    <w:p w:rsidR="001675F8" w:rsidP="001675F8">
      <w:pPr>
        <w:pStyle w:val="SGText03BodyJustifyDbl"/>
      </w:pPr>
    </w:p>
    <w:p w:rsidR="001675F8" w:rsidP="001675F8">
      <w:r w:rsidR="00130DCC">
        <w:t>*These Pretrial Agreements have been suggested by Stephen D. Susman of Susman Godfrey and Paul C. Sanders of Cravath, Swaine &amp; Moore</w:t>
      </w:r>
    </w:p>
    <w:p w:rsidR="00826451" w:rsidRPr="001675F8" w:rsidP="001675F8"/>
    <w:sectPr>
      <w:footerReference w:type="default" r:id="rId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F8">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1403460v1/107974</w:t>
    </w:r>
    <w:r>
      <w:rPr>
        <w:rStyle w:val="DocID"/>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F8">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1403460v1/107974</w:t>
    </w:r>
    <w:r>
      <w:rPr>
        <w:rStyle w:val="DocI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F8">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1403460v1/107974</w:t>
    </w:r>
    <w:r>
      <w:rPr>
        <w:rStyle w:val="DocID"/>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51">
    <w:pPr>
      <w:pStyle w:val="Footer"/>
      <w:rPr>
        <w:rStyle w:val="DocID"/>
        <w:sz w:val="24"/>
      </w:rPr>
    </w:pPr>
    <w:r>
      <w:rPr>
        <w:rStyle w:val="DocID"/>
      </w:rPr>
      <w:fldChar w:fldCharType="begin"/>
    </w:r>
    <w:r>
      <w:rPr>
        <w:rStyle w:val="DocID"/>
      </w:rPr>
      <w:instrText xml:space="preserve"> DOCPROPERTY DocID \* MERGEFORMAT </w:instrText>
    </w:r>
    <w:r>
      <w:rPr>
        <w:rStyle w:val="DocID"/>
      </w:rPr>
      <w:fldChar w:fldCharType="separate"/>
    </w:r>
    <w:r>
      <w:rPr>
        <w:rStyle w:val="DocID"/>
      </w:rPr>
      <w:t>1403460v1/107974</w:t>
    </w:r>
    <w:r>
      <w:rPr>
        <w:rStyle w:val="DocID"/>
      </w:rPr>
      <w:fldChar w:fldCharType="end"/>
    </w:r>
    <w:r>
      <w:rPr>
        <w:rStyle w:val="DocID"/>
      </w:rPr>
      <w:tab/>
    </w:r>
    <w:r>
      <w:rPr>
        <w:rStyle w:val="DocID"/>
        <w:sz w:val="24"/>
      </w:rPr>
      <w:t xml:space="preserve">- </w:t>
    </w:r>
    <w:r>
      <w:rPr>
        <w:rStyle w:val="PageNumber"/>
      </w:rPr>
      <w:fldChar w:fldCharType="begin"/>
    </w:r>
    <w:r>
      <w:rPr>
        <w:rStyle w:val="PageNumber"/>
      </w:rPr>
      <w:instrText xml:space="preserve"> PAGE </w:instrText>
    </w:r>
    <w:r>
      <w:rPr>
        <w:rStyle w:val="PageNumber"/>
      </w:rPr>
      <w:fldChar w:fldCharType="separate"/>
    </w:r>
    <w:r w:rsidR="00DA0D3F">
      <w:rPr>
        <w:rStyle w:val="PageNumber"/>
        <w:noProof/>
      </w:rPr>
      <w:t>4</w:t>
    </w:r>
    <w:r>
      <w:rPr>
        <w:rStyle w:val="PageNumber"/>
      </w:rPr>
      <w:fldChar w:fldCharType="end"/>
    </w:r>
    <w:r>
      <w:rPr>
        <w:rStyle w:val="PageNumber"/>
      </w:rPr>
      <w:t xml:space="preserve"> -</w:t>
    </w:r>
  </w:p>
  <w:p w:rsidR="0082645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F8" w:rsidRPr="00570522" w:rsidP="00570522">
    <w:pPr>
      <w:pStyle w:val="Header"/>
      <w:jc w:val="right"/>
      <w:rPr>
        <w:sz w:val="16"/>
      </w:rPr>
    </w:pPr>
    <w:r w:rsidRPr="00570522" w:rsidR="00570522">
      <w:rPr>
        <w:sz w:val="16"/>
      </w:rPr>
      <w:t>Timestamp:  1/30/2017 1:10 PM CST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262C72"/>
    <w:lvl w:ilvl="0">
      <w:start w:val="1"/>
      <w:numFmt w:val="decimal"/>
      <w:lvlText w:val="%1."/>
      <w:lvlJc w:val="left"/>
      <w:pPr>
        <w:tabs>
          <w:tab w:val="num" w:pos="1800"/>
        </w:tabs>
        <w:ind w:left="1800" w:hanging="360"/>
      </w:pPr>
    </w:lvl>
  </w:abstractNum>
  <w:abstractNum w:abstractNumId="1">
    <w:nsid w:val="FFFFFF7D"/>
    <w:multiLevelType w:val="singleLevel"/>
    <w:tmpl w:val="A07E7DC6"/>
    <w:lvl w:ilvl="0">
      <w:start w:val="1"/>
      <w:numFmt w:val="decimal"/>
      <w:lvlText w:val="%1."/>
      <w:lvlJc w:val="left"/>
      <w:pPr>
        <w:tabs>
          <w:tab w:val="num" w:pos="1440"/>
        </w:tabs>
        <w:ind w:left="1440" w:hanging="360"/>
      </w:pPr>
    </w:lvl>
  </w:abstractNum>
  <w:abstractNum w:abstractNumId="2">
    <w:nsid w:val="FFFFFF7E"/>
    <w:multiLevelType w:val="singleLevel"/>
    <w:tmpl w:val="61F8EEF6"/>
    <w:lvl w:ilvl="0">
      <w:start w:val="1"/>
      <w:numFmt w:val="decimal"/>
      <w:lvlText w:val="%1."/>
      <w:lvlJc w:val="left"/>
      <w:pPr>
        <w:tabs>
          <w:tab w:val="num" w:pos="1080"/>
        </w:tabs>
        <w:ind w:left="1080" w:hanging="360"/>
      </w:pPr>
    </w:lvl>
  </w:abstractNum>
  <w:abstractNum w:abstractNumId="3">
    <w:nsid w:val="FFFFFF7F"/>
    <w:multiLevelType w:val="singleLevel"/>
    <w:tmpl w:val="23B6845C"/>
    <w:lvl w:ilvl="0">
      <w:start w:val="1"/>
      <w:numFmt w:val="decimal"/>
      <w:lvlText w:val="%1."/>
      <w:lvlJc w:val="left"/>
      <w:pPr>
        <w:tabs>
          <w:tab w:val="num" w:pos="720"/>
        </w:tabs>
        <w:ind w:left="720" w:hanging="360"/>
      </w:pPr>
    </w:lvl>
  </w:abstractNum>
  <w:abstractNum w:abstractNumId="4">
    <w:nsid w:val="FFFFFF80"/>
    <w:multiLevelType w:val="singleLevel"/>
    <w:tmpl w:val="F1F02D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288F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DC98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E63B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1A9EC2"/>
    <w:lvl w:ilvl="0">
      <w:start w:val="1"/>
      <w:numFmt w:val="decimal"/>
      <w:lvlText w:val="%1."/>
      <w:lvlJc w:val="left"/>
      <w:pPr>
        <w:tabs>
          <w:tab w:val="num" w:pos="360"/>
        </w:tabs>
        <w:ind w:left="360" w:hanging="360"/>
      </w:pPr>
    </w:lvl>
  </w:abstractNum>
  <w:abstractNum w:abstractNumId="9">
    <w:nsid w:val="FFFFFF89"/>
    <w:multiLevelType w:val="singleLevel"/>
    <w:tmpl w:val="060C58F8"/>
    <w:lvl w:ilvl="0">
      <w:start w:val="1"/>
      <w:numFmt w:val="bullet"/>
      <w:lvlText w:val=""/>
      <w:lvlJc w:val="left"/>
      <w:pPr>
        <w:tabs>
          <w:tab w:val="num" w:pos="360"/>
        </w:tabs>
        <w:ind w:left="360" w:hanging="360"/>
      </w:pPr>
      <w:rPr>
        <w:rFonts w:ascii="Symbol" w:hAnsi="Symbol" w:hint="default"/>
      </w:rPr>
    </w:lvl>
  </w:abstractNum>
  <w:abstractNum w:abstractNumId="10">
    <w:nsid w:val="1B0245C1"/>
    <w:multiLevelType w:val="multilevel"/>
    <w:tmpl w:val="F750609C"/>
    <w:lvl w:ilvl="0">
      <w:start w:val="1"/>
      <w:numFmt w:val="decimal"/>
      <w:lvlText w:val="%1."/>
      <w:lvlJc w:val="center"/>
      <w:pPr>
        <w:tabs>
          <w:tab w:val="num" w:pos="180"/>
        </w:tabs>
        <w:ind w:left="180" w:firstLine="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226108D6"/>
    <w:multiLevelType w:val="multilevel"/>
    <w:tmpl w:val="ADEA9A9E"/>
    <w:lvl w:ilvl="0">
      <w:start w:val="1"/>
      <w:numFmt w:val="upperRoman"/>
      <w:suff w:val="nothing"/>
      <w:lvlText w:val="%1."/>
      <w:lvlJc w:val="center"/>
      <w:pPr>
        <w:ind w:left="0" w:firstLine="0"/>
      </w:pPr>
      <w:rPr>
        <w:rFonts w:ascii="Times New Roman" w:hAnsi="Times New Roman" w:hint="default"/>
        <w:b/>
        <w:i w:val="0"/>
        <w:sz w:val="24"/>
        <w:szCs w:val="24"/>
      </w:rPr>
    </w:lvl>
    <w:lvl w:ilvl="1">
      <w:start w:val="1"/>
      <w:numFmt w:val="decimal"/>
      <w:lvlText w:val="%2."/>
      <w:lvlJc w:val="left"/>
      <w:pPr>
        <w:tabs>
          <w:tab w:val="num" w:pos="1440"/>
        </w:tabs>
        <w:ind w:left="0" w:firstLine="720"/>
      </w:pPr>
      <w:rPr>
        <w:rFonts w:hint="default"/>
      </w:rPr>
    </w:lvl>
    <w:lvl w:ilvl="2">
      <w:start w:val="1"/>
      <w:numFmt w:val="decimal"/>
      <w:lvlText w:val="%3."/>
      <w:lvlJc w:val="left"/>
      <w:pPr>
        <w:tabs>
          <w:tab w:val="num" w:pos="2160"/>
        </w:tabs>
        <w:ind w:left="2880" w:hanging="144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BCC6C9D"/>
    <w:multiLevelType w:val="multilevel"/>
    <w:tmpl w:val="53205F2A"/>
    <w:lvl w:ilvl="0">
      <w:start w:val="1"/>
      <w:numFmt w:val="upperRoman"/>
      <w:suff w:val="nothing"/>
      <w:lvlText w:val="%1."/>
      <w:lvlJc w:val="center"/>
      <w:pPr>
        <w:ind w:left="0" w:firstLine="0"/>
      </w:pPr>
      <w:rPr>
        <w:rFonts w:ascii="Times New Roman" w:hAnsi="Times New Roman" w:hint="default"/>
        <w:b/>
        <w:i w:val="0"/>
        <w:sz w:val="24"/>
        <w:szCs w:val="24"/>
      </w:rPr>
    </w:lvl>
    <w:lvl w:ilvl="1">
      <w:start w:val="1"/>
      <w:numFmt w:val="decimal"/>
      <w:lvlText w:val="%2."/>
      <w:lvlJc w:val="left"/>
      <w:pPr>
        <w:tabs>
          <w:tab w:val="num" w:pos="1440"/>
        </w:tabs>
        <w:ind w:left="2160" w:hanging="1440"/>
      </w:pPr>
      <w:rPr>
        <w:rFonts w:hint="default"/>
      </w:rPr>
    </w:lvl>
    <w:lvl w:ilvl="2">
      <w:start w:val="1"/>
      <w:numFmt w:val="decimal"/>
      <w:lvlText w:val="%3."/>
      <w:lvlJc w:val="left"/>
      <w:pPr>
        <w:tabs>
          <w:tab w:val="num" w:pos="2160"/>
        </w:tabs>
        <w:ind w:left="2880" w:hanging="144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5A4653E"/>
    <w:multiLevelType w:val="multilevel"/>
    <w:tmpl w:val="8C5C4208"/>
    <w:lvl w:ilvl="0">
      <w:start w:val="1"/>
      <w:numFmt w:val="upperRoman"/>
      <w:suff w:val="nothing"/>
      <w:lvlText w:val="%1."/>
      <w:lvlJc w:val="center"/>
      <w:pPr>
        <w:ind w:left="1440" w:hanging="1440"/>
      </w:pPr>
      <w:rPr>
        <w:rFonts w:ascii="Times New Roman" w:hAnsi="Times New Roman" w:hint="default"/>
        <w:b/>
        <w:i w:val="0"/>
        <w:sz w:val="24"/>
        <w:szCs w:val="24"/>
      </w:rPr>
    </w:lvl>
    <w:lvl w:ilvl="1">
      <w:start w:val="1"/>
      <w:numFmt w:val="decimal"/>
      <w:lvlText w:val="%2."/>
      <w:lvlJc w:val="left"/>
      <w:pPr>
        <w:tabs>
          <w:tab w:val="num" w:pos="1440"/>
        </w:tabs>
        <w:ind w:left="0" w:firstLine="720"/>
      </w:pPr>
      <w:rPr>
        <w:rFonts w:hint="default"/>
      </w:rPr>
    </w:lvl>
    <w:lvl w:ilvl="2">
      <w:start w:val="1"/>
      <w:numFmt w:val="decimal"/>
      <w:lvlText w:val="%3."/>
      <w:lvlJc w:val="left"/>
      <w:pPr>
        <w:tabs>
          <w:tab w:val="num" w:pos="2160"/>
        </w:tabs>
        <w:ind w:left="2880" w:hanging="144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1207E33"/>
    <w:multiLevelType w:val="multilevel"/>
    <w:tmpl w:val="924CD176"/>
    <w:lvl w:ilvl="0">
      <w:start w:val="1"/>
      <w:numFmt w:val="decimal"/>
      <w:lvlText w:val="%1."/>
      <w:lvlJc w:val="left"/>
      <w:pPr>
        <w:tabs>
          <w:tab w:val="num" w:pos="720"/>
        </w:tabs>
        <w:ind w:left="0" w:firstLine="0"/>
      </w:pPr>
      <w:rPr>
        <w:rFonts w:hint="default"/>
      </w:rPr>
    </w:lvl>
    <w:lvl w:ilvl="1">
      <w:start w:val="1"/>
      <w:numFmt w:val="upperLetter"/>
      <w:lvlRestart w:val="0"/>
      <w:lvlText w:val="%2."/>
      <w:lvlJc w:val="left"/>
      <w:pPr>
        <w:tabs>
          <w:tab w:val="num" w:pos="1440"/>
        </w:tabs>
        <w:ind w:left="1440" w:hanging="720"/>
      </w:pPr>
      <w:rPr>
        <w:rFonts w:hint="default"/>
      </w:rPr>
    </w:lvl>
    <w:lvl w:ilvl="2">
      <w:start w:val="1"/>
      <w:numFmt w:val="decimal"/>
      <w:lvlRestart w:val="0"/>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523F7AA9"/>
    <w:multiLevelType w:val="multilevel"/>
    <w:tmpl w:val="3E2473B8"/>
    <w:lvl w:ilvl="0">
      <w:start w:val="1"/>
      <w:numFmt w:val="decimal"/>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B886A0C"/>
    <w:multiLevelType w:val="multilevel"/>
    <w:tmpl w:val="0700E8B0"/>
    <w:lvl w:ilvl="0">
      <w:start w:val="1"/>
      <w:numFmt w:val="decimal"/>
      <w:isLgl/>
      <w:suff w:val="nothing"/>
      <w:lvlText w:val="%1."/>
      <w:lvlJc w:val="left"/>
      <w:pPr>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decimal"/>
      <w:lvlRestart w:val="0"/>
      <w:lvlText w:val="%3)"/>
      <w:lvlJc w:val="left"/>
      <w:pPr>
        <w:tabs>
          <w:tab w:val="num" w:pos="2160"/>
        </w:tabs>
        <w:ind w:left="2160" w:hanging="720"/>
      </w:pPr>
      <w:rPr>
        <w:rFonts w:hint="default"/>
      </w:rPr>
    </w:lvl>
    <w:lvl w:ilvl="3">
      <w:start w:val="1"/>
      <w:numFmt w:val="none"/>
      <w:lvlJc w:val="left"/>
      <w:pPr>
        <w:tabs>
          <w:tab w:val="num" w:pos="2880"/>
        </w:tabs>
        <w:ind w:left="2880" w:hanging="720"/>
      </w:pPr>
      <w:rPr>
        <w:rFonts w:hint="default"/>
      </w:rPr>
    </w:lvl>
    <w:lvl w:ilvl="4">
      <w:start w:val="1"/>
      <w:numFmt w:val="none"/>
      <w:lvlText w:val="%5"/>
      <w:lvlJc w:val="left"/>
      <w:pPr>
        <w:tabs>
          <w:tab w:val="num" w:pos="3600"/>
        </w:tabs>
        <w:ind w:left="3600" w:hanging="360"/>
      </w:pPr>
      <w:rPr>
        <w:rFonts w:hint="default"/>
      </w:rPr>
    </w:lvl>
    <w:lvl w:ilvl="5">
      <w:start w:val="1"/>
      <w:numFmt w:val="none"/>
      <w:lvlText w:val="%6"/>
      <w:lvlJc w:val="left"/>
      <w:pPr>
        <w:tabs>
          <w:tab w:val="num" w:pos="4320"/>
        </w:tabs>
        <w:ind w:left="4320" w:hanging="36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left"/>
      <w:pPr>
        <w:tabs>
          <w:tab w:val="num" w:pos="6480"/>
        </w:tabs>
        <w:ind w:left="6480" w:hanging="360"/>
      </w:pPr>
      <w:rPr>
        <w:rFonts w:hint="default"/>
      </w:rPr>
    </w:lvl>
  </w:abstractNum>
  <w:num w:numId="1">
    <w:abstractNumId w:val="14"/>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F08"/>
  <w:doNotTrackMoves/>
  <w:defaultTabStop w:val="720"/>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IDAuthorName" w:val="False"/>
    <w:docVar w:name="DocIDClientMatter" w:val="True"/>
    <w:docVar w:name="LastStyleSheetChoice" w:val="SG Styles"/>
    <w:docVar w:name="LastStyleSheetUniqueID" w:val="15"/>
    <w:docVar w:name="StyleAssistantStylesApplied" w:val="STY\SG Text 03 Body Justify Dbl,B03"/>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GText03BodyJustifyDbl">
    <w:name w:val="SG Text 03 Body Justify Dbl"/>
    <w:aliases w:val="B03"/>
    <w:basedOn w:val="Normal"/>
    <w:pPr>
      <w:spacing w:line="480" w:lineRule="auto"/>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DocID">
    <w:name w:val="DocID"/>
    <w:rPr>
      <w:rFonts w:ascii="Times New Roman" w:hAnsi="Times New Roman" w:cs="Times New Roman"/>
      <w:color w:val="000000"/>
      <w:sz w:val="18"/>
      <w:u w:val="non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windows-1252"/>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ddefranc\Application%20Data\Microsoft\Templates\Memo.dot" TargetMode="External" /></Relationships>
</file>

<file path=docProps/app.xml><?xml version="1.0" encoding="utf-8"?>
<Properties xmlns="http://schemas.openxmlformats.org/officeDocument/2006/extended-properties" xmlns:vt="http://schemas.openxmlformats.org/officeDocument/2006/docPropsVTypes">
  <Template>Memo.dot</Template>
  <TotalTime>0</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SUSMAN GODREY L</vt:lpstr>
    </vt:vector>
  </TitlesOfParts>
  <Company>Susman Godfrey LLP</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SUSMAN GODREY L</dc:title>
  <dc:creator>Steve Susman</dc:creator>
  <cp:lastModifiedBy>Steve Susman</cp:lastModifiedBy>
  <cp:revision>2</cp:revision>
  <cp:lastPrinted>2011-01-06T16:55:00Z</cp:lastPrinted>
  <dcterms:created xsi:type="dcterms:W3CDTF">2017-01-30T19:12:00Z</dcterms:created>
  <dcterms:modified xsi:type="dcterms:W3CDTF">2017-01-30T19:12:00Z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1403460v1/107974</vt:lpwstr>
  </property>
</Properties>
</file>