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3F" w:rsidRPr="004F6F6B" w:rsidRDefault="004F6F6B" w:rsidP="004F6F6B">
      <w:pPr>
        <w:spacing w:after="0" w:line="240" w:lineRule="auto"/>
        <w:jc w:val="center"/>
        <w:rPr>
          <w:rFonts w:ascii="Times New Roman" w:hAnsi="Times New Roman" w:cs="Times New Roman"/>
          <w:b/>
          <w:sz w:val="24"/>
          <w:szCs w:val="24"/>
        </w:rPr>
      </w:pPr>
      <w:r w:rsidRPr="004F6F6B">
        <w:rPr>
          <w:rFonts w:ascii="Times New Roman" w:hAnsi="Times New Roman" w:cs="Times New Roman"/>
          <w:b/>
          <w:sz w:val="24"/>
          <w:szCs w:val="24"/>
        </w:rPr>
        <w:t>Transfer &amp; Stay Issues that Arise in Wage &amp; Hour Actions</w:t>
      </w:r>
    </w:p>
    <w:p w:rsidR="004F6F6B" w:rsidRDefault="004F6F6B" w:rsidP="004F6F6B">
      <w:pPr>
        <w:spacing w:after="0" w:line="240" w:lineRule="auto"/>
        <w:jc w:val="center"/>
        <w:rPr>
          <w:rFonts w:ascii="Times New Roman" w:hAnsi="Times New Roman" w:cs="Times New Roman"/>
          <w:b/>
          <w:sz w:val="24"/>
          <w:szCs w:val="24"/>
        </w:rPr>
      </w:pPr>
      <w:r w:rsidRPr="004F6F6B">
        <w:rPr>
          <w:rFonts w:ascii="Times New Roman" w:hAnsi="Times New Roman" w:cs="Times New Roman"/>
          <w:b/>
          <w:sz w:val="24"/>
          <w:szCs w:val="24"/>
        </w:rPr>
        <w:t>From a Plaintiff</w:t>
      </w:r>
      <w:r w:rsidR="003B6CB7">
        <w:rPr>
          <w:rFonts w:ascii="Times New Roman" w:hAnsi="Times New Roman" w:cs="Times New Roman"/>
          <w:b/>
          <w:sz w:val="24"/>
          <w:szCs w:val="24"/>
        </w:rPr>
        <w:t>’</w:t>
      </w:r>
      <w:r w:rsidRPr="004F6F6B">
        <w:rPr>
          <w:rFonts w:ascii="Times New Roman" w:hAnsi="Times New Roman" w:cs="Times New Roman"/>
          <w:b/>
          <w:sz w:val="24"/>
          <w:szCs w:val="24"/>
        </w:rPr>
        <w:t>s Perspective</w:t>
      </w:r>
    </w:p>
    <w:p w:rsidR="00D05C33" w:rsidRDefault="00D05C33" w:rsidP="004F6F6B">
      <w:pPr>
        <w:spacing w:after="0" w:line="240" w:lineRule="auto"/>
        <w:jc w:val="center"/>
        <w:rPr>
          <w:rFonts w:ascii="Times New Roman" w:hAnsi="Times New Roman" w:cs="Times New Roman"/>
          <w:b/>
          <w:sz w:val="24"/>
          <w:szCs w:val="24"/>
        </w:rPr>
      </w:pPr>
    </w:p>
    <w:p w:rsidR="00D05C33" w:rsidRDefault="00D05C33" w:rsidP="004F6F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By Rhonda H. Wills</w:t>
      </w:r>
    </w:p>
    <w:p w:rsidR="004F6F6B" w:rsidRDefault="004F6F6B" w:rsidP="004F6F6B">
      <w:pPr>
        <w:spacing w:after="0" w:line="240" w:lineRule="auto"/>
        <w:jc w:val="center"/>
        <w:rPr>
          <w:rFonts w:ascii="Times New Roman" w:hAnsi="Times New Roman" w:cs="Times New Roman"/>
          <w:sz w:val="24"/>
          <w:szCs w:val="24"/>
        </w:rPr>
      </w:pPr>
    </w:p>
    <w:p w:rsidR="004F6F6B" w:rsidRDefault="004F6F6B" w:rsidP="004F6F6B">
      <w:pPr>
        <w:spacing w:after="0" w:line="240" w:lineRule="auto"/>
        <w:jc w:val="both"/>
        <w:rPr>
          <w:rFonts w:ascii="Times New Roman" w:hAnsi="Times New Roman" w:cs="Times New Roman"/>
          <w:sz w:val="24"/>
          <w:szCs w:val="24"/>
        </w:rPr>
      </w:pPr>
    </w:p>
    <w:p w:rsidR="004F6F6B" w:rsidRPr="00D05C33" w:rsidRDefault="004F6F6B" w:rsidP="004F6F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D05C33">
        <w:rPr>
          <w:rFonts w:ascii="Times New Roman" w:hAnsi="Times New Roman" w:cs="Times New Roman"/>
          <w:b/>
          <w:sz w:val="24"/>
          <w:szCs w:val="24"/>
        </w:rPr>
        <w:t xml:space="preserve">Where </w:t>
      </w:r>
      <w:r w:rsidR="003B6CB7" w:rsidRPr="00D05C33">
        <w:rPr>
          <w:rFonts w:ascii="Times New Roman" w:hAnsi="Times New Roman" w:cs="Times New Roman"/>
          <w:b/>
          <w:sz w:val="24"/>
          <w:szCs w:val="24"/>
        </w:rPr>
        <w:t>can</w:t>
      </w:r>
      <w:r w:rsidRPr="00D05C33">
        <w:rPr>
          <w:rFonts w:ascii="Times New Roman" w:hAnsi="Times New Roman" w:cs="Times New Roman"/>
          <w:b/>
          <w:sz w:val="24"/>
          <w:szCs w:val="24"/>
        </w:rPr>
        <w:t xml:space="preserve"> a </w:t>
      </w:r>
      <w:r w:rsidR="003B6CB7" w:rsidRPr="00D05C33">
        <w:rPr>
          <w:rFonts w:ascii="Times New Roman" w:hAnsi="Times New Roman" w:cs="Times New Roman"/>
          <w:b/>
          <w:sz w:val="24"/>
          <w:szCs w:val="24"/>
        </w:rPr>
        <w:t xml:space="preserve">named </w:t>
      </w:r>
      <w:r w:rsidRPr="00D05C33">
        <w:rPr>
          <w:rFonts w:ascii="Times New Roman" w:hAnsi="Times New Roman" w:cs="Times New Roman"/>
          <w:b/>
          <w:sz w:val="24"/>
          <w:szCs w:val="24"/>
        </w:rPr>
        <w:t xml:space="preserve">plaintiff file a class action/collective </w:t>
      </w:r>
      <w:r w:rsidR="003B6CB7" w:rsidRPr="00D05C33">
        <w:rPr>
          <w:rFonts w:ascii="Times New Roman" w:hAnsi="Times New Roman" w:cs="Times New Roman"/>
          <w:b/>
          <w:sz w:val="24"/>
          <w:szCs w:val="24"/>
        </w:rPr>
        <w:t xml:space="preserve">action </w:t>
      </w:r>
      <w:r w:rsidRPr="00D05C33">
        <w:rPr>
          <w:rFonts w:ascii="Times New Roman" w:hAnsi="Times New Roman" w:cs="Times New Roman"/>
          <w:b/>
          <w:sz w:val="24"/>
          <w:szCs w:val="24"/>
        </w:rPr>
        <w:t>wage &amp; hour matter?</w:t>
      </w:r>
    </w:p>
    <w:p w:rsidR="004F6F6B" w:rsidRDefault="004F6F6B" w:rsidP="004F6F6B">
      <w:pPr>
        <w:spacing w:after="0" w:line="240" w:lineRule="auto"/>
        <w:jc w:val="both"/>
        <w:rPr>
          <w:rFonts w:ascii="Times New Roman" w:hAnsi="Times New Roman" w:cs="Times New Roman"/>
          <w:sz w:val="24"/>
          <w:szCs w:val="24"/>
        </w:rPr>
      </w:pPr>
    </w:p>
    <w:p w:rsidR="004F6F6B" w:rsidRPr="007463C6" w:rsidRDefault="004F6F6B" w:rsidP="004F6F6B">
      <w:pPr>
        <w:pStyle w:val="ListParagraph"/>
        <w:numPr>
          <w:ilvl w:val="0"/>
          <w:numId w:val="1"/>
        </w:numPr>
        <w:spacing w:after="0" w:line="240" w:lineRule="auto"/>
        <w:ind w:left="1440"/>
        <w:jc w:val="both"/>
        <w:rPr>
          <w:rFonts w:ascii="Times New Roman" w:hAnsi="Times New Roman" w:cs="Times New Roman"/>
          <w:b/>
          <w:sz w:val="24"/>
          <w:szCs w:val="24"/>
        </w:rPr>
      </w:pPr>
      <w:r w:rsidRPr="007463C6">
        <w:rPr>
          <w:rFonts w:ascii="Times New Roman" w:hAnsi="Times New Roman" w:cs="Times New Roman"/>
          <w:b/>
          <w:sz w:val="24"/>
          <w:szCs w:val="24"/>
        </w:rPr>
        <w:t>Where the plaintiff worked</w:t>
      </w:r>
      <w:r w:rsidR="003B6CB7" w:rsidRPr="007463C6">
        <w:rPr>
          <w:rFonts w:ascii="Times New Roman" w:hAnsi="Times New Roman" w:cs="Times New Roman"/>
          <w:b/>
          <w:sz w:val="24"/>
          <w:szCs w:val="24"/>
        </w:rPr>
        <w:t>/lives</w:t>
      </w:r>
    </w:p>
    <w:p w:rsidR="00FF103F" w:rsidRDefault="00A76D50" w:rsidP="00FF103F">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civil action may be brought in “a judicial district in which a substantial part of the events or omissions giving rise to the claim occurred”—28 U.S.C. § 1391(b)(2)</w:t>
      </w:r>
      <w:r w:rsidR="007463C6">
        <w:rPr>
          <w:rFonts w:ascii="Times New Roman" w:hAnsi="Times New Roman" w:cs="Times New Roman"/>
          <w:sz w:val="24"/>
          <w:szCs w:val="24"/>
        </w:rPr>
        <w:t>.</w:t>
      </w:r>
    </w:p>
    <w:p w:rsidR="00CA533E" w:rsidRDefault="00CA533E" w:rsidP="00FF103F">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See generally Barnes v. Petroleum Coordinators, Inc.</w:t>
      </w:r>
      <w:r>
        <w:rPr>
          <w:rFonts w:ascii="Times New Roman" w:hAnsi="Times New Roman" w:cs="Times New Roman"/>
          <w:sz w:val="24"/>
          <w:szCs w:val="24"/>
        </w:rPr>
        <w:t>, No. 12-1132, 2012 U.S. Dist. LEXIS 142435 (S.D. Tex. Oct. 2, 2012) (Miller, J.) (denying defendant’s motion to transfer venue in an FLSA collective action filed where the plaintiff and putative collective action members worked)</w:t>
      </w:r>
      <w:r w:rsidR="007463C6">
        <w:rPr>
          <w:rFonts w:ascii="Times New Roman" w:hAnsi="Times New Roman" w:cs="Times New Roman"/>
          <w:sz w:val="24"/>
          <w:szCs w:val="24"/>
        </w:rPr>
        <w:t>.</w:t>
      </w:r>
    </w:p>
    <w:p w:rsidR="007463C6" w:rsidRDefault="007463C6" w:rsidP="007463C6">
      <w:pPr>
        <w:pStyle w:val="ListParagraph"/>
        <w:spacing w:after="0" w:line="240" w:lineRule="auto"/>
        <w:ind w:left="2160"/>
        <w:jc w:val="both"/>
        <w:rPr>
          <w:rFonts w:ascii="Times New Roman" w:hAnsi="Times New Roman" w:cs="Times New Roman"/>
          <w:sz w:val="24"/>
          <w:szCs w:val="24"/>
        </w:rPr>
      </w:pPr>
    </w:p>
    <w:p w:rsidR="004F6F6B" w:rsidRPr="007463C6" w:rsidRDefault="004F6F6B" w:rsidP="004F6F6B">
      <w:pPr>
        <w:pStyle w:val="ListParagraph"/>
        <w:numPr>
          <w:ilvl w:val="0"/>
          <w:numId w:val="1"/>
        </w:numPr>
        <w:spacing w:after="0" w:line="240" w:lineRule="auto"/>
        <w:ind w:left="1440"/>
        <w:jc w:val="both"/>
        <w:rPr>
          <w:rFonts w:ascii="Times New Roman" w:hAnsi="Times New Roman" w:cs="Times New Roman"/>
          <w:b/>
          <w:sz w:val="24"/>
          <w:szCs w:val="24"/>
        </w:rPr>
      </w:pPr>
      <w:r w:rsidRPr="007463C6">
        <w:rPr>
          <w:rFonts w:ascii="Times New Roman" w:hAnsi="Times New Roman" w:cs="Times New Roman"/>
          <w:b/>
          <w:sz w:val="24"/>
          <w:szCs w:val="24"/>
        </w:rPr>
        <w:t>Where the defendant is domiciled</w:t>
      </w:r>
      <w:r w:rsidR="003B6CB7" w:rsidRPr="007463C6">
        <w:rPr>
          <w:rFonts w:ascii="Times New Roman" w:hAnsi="Times New Roman" w:cs="Times New Roman"/>
          <w:b/>
          <w:sz w:val="24"/>
          <w:szCs w:val="24"/>
        </w:rPr>
        <w:t>/corporate headquarters</w:t>
      </w:r>
    </w:p>
    <w:p w:rsidR="00232B00" w:rsidRDefault="00232B00" w:rsidP="00232B00">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civil action may be brought in “a judicial district in which any defendant resides, if all defendants are residents of the State in which the district is located”—28 U.S.C. § 1391(b)(1)</w:t>
      </w:r>
      <w:r w:rsidR="007463C6">
        <w:rPr>
          <w:rFonts w:ascii="Times New Roman" w:hAnsi="Times New Roman" w:cs="Times New Roman"/>
          <w:sz w:val="24"/>
          <w:szCs w:val="24"/>
        </w:rPr>
        <w:t>.</w:t>
      </w:r>
    </w:p>
    <w:p w:rsidR="00EE1797" w:rsidRDefault="00EE1797" w:rsidP="00EE1797">
      <w:pPr>
        <w:pStyle w:val="ListParagraph"/>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Venue is proper in any judicial district of a state where personal jurisdiction over the corporate defendant may be obtained (</w:t>
      </w:r>
      <w:r w:rsidRPr="00A50F28">
        <w:rPr>
          <w:rFonts w:ascii="Times New Roman" w:hAnsi="Times New Roman" w:cs="Times New Roman"/>
          <w:i/>
          <w:sz w:val="24"/>
          <w:szCs w:val="24"/>
        </w:rPr>
        <w:t>Kervin v. Supreme Service &amp; Specialty Co., Inc.</w:t>
      </w:r>
      <w:r>
        <w:rPr>
          <w:rFonts w:ascii="Times New Roman" w:hAnsi="Times New Roman" w:cs="Times New Roman"/>
          <w:sz w:val="24"/>
          <w:szCs w:val="24"/>
        </w:rPr>
        <w:t>, No. 2:15-cv-102, 2015 WL 1540157, at *3 (S.D. Tex. Apr. 7, 2015))</w:t>
      </w:r>
      <w:r w:rsidR="007463C6">
        <w:rPr>
          <w:rFonts w:ascii="Times New Roman" w:hAnsi="Times New Roman" w:cs="Times New Roman"/>
          <w:sz w:val="24"/>
          <w:szCs w:val="24"/>
        </w:rPr>
        <w:t>.</w:t>
      </w:r>
    </w:p>
    <w:p w:rsidR="00510513" w:rsidRDefault="00510513" w:rsidP="00510513">
      <w:pPr>
        <w:pStyle w:val="ListParagraph"/>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jurisdiction over a corporate defendant is proper where the corporate defendant is incorporated and where it keeps its principal place of business (</w:t>
      </w:r>
      <w:r>
        <w:rPr>
          <w:rFonts w:ascii="Times New Roman" w:hAnsi="Times New Roman" w:cs="Times New Roman"/>
          <w:i/>
          <w:sz w:val="24"/>
          <w:szCs w:val="24"/>
        </w:rPr>
        <w:t>Barnes v. Petroleum Coordinators, Inc.</w:t>
      </w:r>
      <w:r>
        <w:rPr>
          <w:rFonts w:ascii="Times New Roman" w:hAnsi="Times New Roman" w:cs="Times New Roman"/>
          <w:sz w:val="24"/>
          <w:szCs w:val="24"/>
        </w:rPr>
        <w:t>, No. 12-1132, 2012 U.S. Dist. LEXIS 142435, at *5–6 (S.D. Tex. Oct. 2, 2012) (Miller, J.))</w:t>
      </w:r>
      <w:r w:rsidR="007463C6">
        <w:rPr>
          <w:rFonts w:ascii="Times New Roman" w:hAnsi="Times New Roman" w:cs="Times New Roman"/>
          <w:sz w:val="24"/>
          <w:szCs w:val="24"/>
        </w:rPr>
        <w:t>.</w:t>
      </w:r>
    </w:p>
    <w:p w:rsidR="004F6F6B" w:rsidRDefault="004F6F6B" w:rsidP="004F6F6B">
      <w:pPr>
        <w:spacing w:after="0" w:line="240" w:lineRule="auto"/>
        <w:jc w:val="both"/>
        <w:rPr>
          <w:rFonts w:ascii="Times New Roman" w:hAnsi="Times New Roman" w:cs="Times New Roman"/>
          <w:sz w:val="24"/>
          <w:szCs w:val="24"/>
        </w:rPr>
      </w:pPr>
    </w:p>
    <w:p w:rsidR="004F6F6B" w:rsidRPr="00D05C33" w:rsidRDefault="004F6F6B" w:rsidP="004F6F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05C33">
        <w:rPr>
          <w:rFonts w:ascii="Times New Roman" w:hAnsi="Times New Roman" w:cs="Times New Roman"/>
          <w:b/>
          <w:sz w:val="24"/>
          <w:szCs w:val="24"/>
        </w:rPr>
        <w:t>When is a transfer appropriate?</w:t>
      </w:r>
    </w:p>
    <w:p w:rsidR="004F6F6B" w:rsidRDefault="004F6F6B" w:rsidP="004F6F6B">
      <w:pPr>
        <w:spacing w:after="0" w:line="240" w:lineRule="auto"/>
        <w:jc w:val="both"/>
        <w:rPr>
          <w:rFonts w:ascii="Times New Roman" w:hAnsi="Times New Roman" w:cs="Times New Roman"/>
          <w:sz w:val="24"/>
          <w:szCs w:val="24"/>
        </w:rPr>
      </w:pPr>
    </w:p>
    <w:p w:rsidR="008C04F5" w:rsidRDefault="004F6F6B" w:rsidP="009F782A">
      <w:pPr>
        <w:pStyle w:val="ListParagraph"/>
        <w:numPr>
          <w:ilvl w:val="0"/>
          <w:numId w:val="3"/>
        </w:numPr>
        <w:spacing w:after="0" w:line="240" w:lineRule="auto"/>
        <w:jc w:val="both"/>
        <w:rPr>
          <w:rFonts w:ascii="Times New Roman" w:hAnsi="Times New Roman" w:cs="Times New Roman"/>
          <w:sz w:val="24"/>
          <w:szCs w:val="24"/>
        </w:rPr>
      </w:pPr>
      <w:r w:rsidRPr="007463C6">
        <w:rPr>
          <w:rFonts w:ascii="Times New Roman" w:hAnsi="Times New Roman" w:cs="Times New Roman"/>
          <w:b/>
          <w:sz w:val="24"/>
          <w:szCs w:val="24"/>
        </w:rPr>
        <w:t>Motion to Transfer under 28 U.S.C. § 1404(a)</w:t>
      </w:r>
      <w:r w:rsidR="009F782A">
        <w:rPr>
          <w:rFonts w:ascii="Times New Roman" w:hAnsi="Times New Roman" w:cs="Times New Roman"/>
          <w:sz w:val="24"/>
          <w:szCs w:val="24"/>
        </w:rPr>
        <w:t>—</w:t>
      </w:r>
      <w:r w:rsidR="009F782A" w:rsidRPr="009F782A">
        <w:rPr>
          <w:rFonts w:ascii="Times New Roman" w:hAnsi="Times New Roman" w:cs="Times New Roman"/>
          <w:sz w:val="24"/>
          <w:szCs w:val="24"/>
        </w:rPr>
        <w:t>“</w:t>
      </w:r>
      <w:r w:rsidR="009F782A" w:rsidRPr="009F782A">
        <w:rPr>
          <w:rFonts w:ascii="Times New Roman" w:hAnsi="Times New Roman" w:cs="Times New Roman"/>
          <w:i/>
          <w:sz w:val="24"/>
          <w:szCs w:val="24"/>
        </w:rPr>
        <w:t>For the convenience of parties and witnesses, in the interest of justice, a district court may transfer any civil action to any other district or division where it might have been brought</w:t>
      </w:r>
      <w:r w:rsidR="009F782A" w:rsidRPr="009F782A">
        <w:rPr>
          <w:rFonts w:ascii="Times New Roman" w:hAnsi="Times New Roman" w:cs="Times New Roman"/>
          <w:sz w:val="24"/>
          <w:szCs w:val="24"/>
        </w:rPr>
        <w:t>.”</w:t>
      </w:r>
    </w:p>
    <w:p w:rsidR="007463C6" w:rsidRPr="009F782A" w:rsidRDefault="007463C6" w:rsidP="007463C6">
      <w:pPr>
        <w:pStyle w:val="ListParagraph"/>
        <w:spacing w:after="0" w:line="240" w:lineRule="auto"/>
        <w:ind w:left="150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Plaintiff’s choice of forum</w:t>
      </w:r>
    </w:p>
    <w:p w:rsidR="007463C6" w:rsidRPr="00B5464C" w:rsidRDefault="00E951B9" w:rsidP="00B5464C">
      <w:pPr>
        <w:pStyle w:val="ListParagraph"/>
        <w:numPr>
          <w:ilvl w:val="2"/>
          <w:numId w:val="3"/>
        </w:numPr>
        <w:spacing w:after="0" w:line="240" w:lineRule="auto"/>
        <w:jc w:val="both"/>
        <w:rPr>
          <w:rFonts w:ascii="Times New Roman" w:hAnsi="Times New Roman" w:cs="Times New Roman"/>
          <w:sz w:val="24"/>
          <w:szCs w:val="24"/>
        </w:rPr>
      </w:pPr>
      <w:r w:rsidRPr="00B5464C">
        <w:rPr>
          <w:rFonts w:ascii="Times New Roman" w:hAnsi="Times New Roman" w:cs="Times New Roman"/>
          <w:sz w:val="24"/>
          <w:szCs w:val="24"/>
        </w:rPr>
        <w:t xml:space="preserve">Plaintiff’s choice of forum </w:t>
      </w:r>
      <w:r w:rsidR="00A75DBC" w:rsidRPr="00B5464C">
        <w:rPr>
          <w:rFonts w:ascii="Times New Roman" w:hAnsi="Times New Roman" w:cs="Times New Roman"/>
          <w:sz w:val="24"/>
          <w:szCs w:val="24"/>
        </w:rPr>
        <w:t xml:space="preserve">is </w:t>
      </w:r>
      <w:r w:rsidRPr="00B5464C">
        <w:rPr>
          <w:rFonts w:ascii="Times New Roman" w:hAnsi="Times New Roman" w:cs="Times New Roman"/>
          <w:sz w:val="24"/>
          <w:szCs w:val="24"/>
        </w:rPr>
        <w:t>entitled to less deference than usual when the suit is brought as an FLSA collective action on behalf of others similarly situated—</w:t>
      </w:r>
      <w:r w:rsidRPr="00B5464C">
        <w:rPr>
          <w:rFonts w:ascii="Times New Roman" w:hAnsi="Times New Roman" w:cs="Times New Roman"/>
          <w:i/>
          <w:sz w:val="24"/>
          <w:szCs w:val="24"/>
        </w:rPr>
        <w:t>Webb v, Settoon Towing, LLC</w:t>
      </w:r>
      <w:r w:rsidRPr="00B5464C">
        <w:rPr>
          <w:rFonts w:ascii="Times New Roman" w:hAnsi="Times New Roman" w:cs="Times New Roman"/>
          <w:sz w:val="24"/>
          <w:szCs w:val="24"/>
        </w:rPr>
        <w:t>, No. 3-12-143, 2012</w:t>
      </w:r>
      <w:r w:rsidR="00E66021" w:rsidRPr="00B5464C">
        <w:rPr>
          <w:rFonts w:ascii="Times New Roman" w:hAnsi="Times New Roman" w:cs="Times New Roman"/>
          <w:sz w:val="24"/>
          <w:szCs w:val="24"/>
        </w:rPr>
        <w:t xml:space="preserve"> U.S. Dist. LEXIS 168987</w:t>
      </w:r>
      <w:r w:rsidRPr="00B5464C">
        <w:rPr>
          <w:rFonts w:ascii="Times New Roman" w:hAnsi="Times New Roman" w:cs="Times New Roman"/>
          <w:sz w:val="24"/>
          <w:szCs w:val="24"/>
        </w:rPr>
        <w:t xml:space="preserve"> (S.D. Tex. Nov. 28, 2012) (Costa, J.)</w:t>
      </w:r>
      <w:r w:rsidR="007463C6" w:rsidRPr="00B5464C">
        <w:rPr>
          <w:rFonts w:ascii="Times New Roman" w:hAnsi="Times New Roman" w:cs="Times New Roman"/>
          <w:sz w:val="24"/>
          <w:szCs w:val="24"/>
        </w:rPr>
        <w:t>.</w:t>
      </w:r>
      <w:bookmarkStart w:id="0" w:name="_GoBack"/>
      <w:bookmarkEnd w:id="0"/>
      <w:r w:rsidR="007463C6" w:rsidRPr="00B5464C">
        <w:rPr>
          <w:rFonts w:ascii="Times New Roman" w:hAnsi="Times New Roman" w:cs="Times New Roman"/>
          <w:sz w:val="24"/>
          <w:szCs w:val="24"/>
        </w:rPr>
        <w:br w:type="page"/>
      </w: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Convenience of the witnesses</w:t>
      </w:r>
    </w:p>
    <w:p w:rsidR="008E2523" w:rsidRDefault="008B5449"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Often recognized as the most important factor in the transfer analysis—</w:t>
      </w:r>
      <w:r>
        <w:rPr>
          <w:rFonts w:ascii="Times New Roman" w:hAnsi="Times New Roman" w:cs="Times New Roman"/>
          <w:i/>
          <w:sz w:val="24"/>
          <w:szCs w:val="24"/>
        </w:rPr>
        <w:t>Spiegelberg v. Collegiate Licensing Co.</w:t>
      </w:r>
      <w:r>
        <w:rPr>
          <w:rFonts w:ascii="Times New Roman" w:hAnsi="Times New Roman" w:cs="Times New Roman"/>
          <w:sz w:val="24"/>
          <w:szCs w:val="24"/>
        </w:rPr>
        <w:t xml:space="preserve">, 402 F. Supp. 2d 786, 790 (S.D. Tex. 2005); </w:t>
      </w:r>
      <w:r>
        <w:rPr>
          <w:rFonts w:ascii="Times New Roman" w:hAnsi="Times New Roman" w:cs="Times New Roman"/>
          <w:i/>
          <w:sz w:val="24"/>
          <w:szCs w:val="24"/>
        </w:rPr>
        <w:t>Barnes v. Petroleum Coordinators, Inc.</w:t>
      </w:r>
      <w:r>
        <w:rPr>
          <w:rFonts w:ascii="Times New Roman" w:hAnsi="Times New Roman" w:cs="Times New Roman"/>
          <w:sz w:val="24"/>
          <w:szCs w:val="24"/>
        </w:rPr>
        <w:t>, No. 12-1132, 2012 U.S. Dist. LEXIS 142435, at *8 (S.D. Tex. Oct. 2, 2012) (Miller, J.)</w:t>
      </w:r>
      <w:r w:rsidR="007463C6">
        <w:rPr>
          <w:rFonts w:ascii="Times New Roman" w:hAnsi="Times New Roman" w:cs="Times New Roman"/>
          <w:sz w:val="24"/>
          <w:szCs w:val="24"/>
        </w:rPr>
        <w:t>.</w:t>
      </w:r>
    </w:p>
    <w:p w:rsidR="008B5449" w:rsidRDefault="008B5449"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key witnesses must travel more than 100 miles, inconvenience to the witnesses increases in direct relationship to the additional distance to be traveled—</w:t>
      </w:r>
      <w:r w:rsidRPr="008B5449">
        <w:rPr>
          <w:rFonts w:ascii="Times New Roman" w:hAnsi="Times New Roman" w:cs="Times New Roman"/>
          <w:i/>
          <w:sz w:val="24"/>
          <w:szCs w:val="24"/>
        </w:rPr>
        <w:t xml:space="preserve"> </w:t>
      </w:r>
      <w:r>
        <w:rPr>
          <w:rFonts w:ascii="Times New Roman" w:hAnsi="Times New Roman" w:cs="Times New Roman"/>
          <w:i/>
          <w:sz w:val="24"/>
          <w:szCs w:val="24"/>
        </w:rPr>
        <w:t>Barnes v. Petroleum Coordinators, Inc.</w:t>
      </w:r>
      <w:r>
        <w:rPr>
          <w:rFonts w:ascii="Times New Roman" w:hAnsi="Times New Roman" w:cs="Times New Roman"/>
          <w:sz w:val="24"/>
          <w:szCs w:val="24"/>
        </w:rPr>
        <w:t>, No. 12-1132, 2012 U.S. Dist. LEXIS 142435, at *8 (S.D. Tex. Oct. 2, 2012) (Miller, J.)</w:t>
      </w:r>
      <w:r w:rsidR="007463C6">
        <w:rPr>
          <w:rFonts w:ascii="Times New Roman" w:hAnsi="Times New Roman" w:cs="Times New Roman"/>
          <w:sz w:val="24"/>
          <w:szCs w:val="24"/>
        </w:rPr>
        <w:t>.</w:t>
      </w:r>
    </w:p>
    <w:p w:rsidR="00114C59" w:rsidRDefault="00A94FF7"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Residency of putative class members is taken into account for FLSA collective actions—</w:t>
      </w:r>
      <w:r>
        <w:rPr>
          <w:rFonts w:ascii="Times New Roman" w:hAnsi="Times New Roman" w:cs="Times New Roman"/>
          <w:i/>
          <w:sz w:val="24"/>
          <w:szCs w:val="24"/>
        </w:rPr>
        <w:t>see Webb v, Settoon Towing, LLC</w:t>
      </w:r>
      <w:r>
        <w:rPr>
          <w:rFonts w:ascii="Times New Roman" w:hAnsi="Times New Roman" w:cs="Times New Roman"/>
          <w:sz w:val="24"/>
          <w:szCs w:val="24"/>
        </w:rPr>
        <w:t>, No. 3-12-143, 2012</w:t>
      </w:r>
      <w:r w:rsidR="00E951B9">
        <w:rPr>
          <w:rFonts w:ascii="Times New Roman" w:hAnsi="Times New Roman" w:cs="Times New Roman"/>
          <w:sz w:val="24"/>
          <w:szCs w:val="24"/>
        </w:rPr>
        <w:t xml:space="preserve"> U.S. Dist. LEXIS 168987, at *14–15</w:t>
      </w:r>
      <w:r>
        <w:rPr>
          <w:rFonts w:ascii="Times New Roman" w:hAnsi="Times New Roman" w:cs="Times New Roman"/>
          <w:sz w:val="24"/>
          <w:szCs w:val="24"/>
        </w:rPr>
        <w:t xml:space="preserve"> (S.D. Tex. Nov. 28, 2012) (Costa, J.) (transferring FLSA collective action to the Eastern District of Louisiana, noting that 50.2% of the putative class members resided in Louisiana)</w:t>
      </w:r>
      <w:r w:rsidR="007463C6">
        <w:rPr>
          <w:rFonts w:ascii="Times New Roman" w:hAnsi="Times New Roman" w:cs="Times New Roman"/>
          <w:sz w:val="24"/>
          <w:szCs w:val="24"/>
        </w:rPr>
        <w:t>.</w:t>
      </w:r>
    </w:p>
    <w:p w:rsidR="007463C6" w:rsidRDefault="007463C6" w:rsidP="007463C6">
      <w:pPr>
        <w:pStyle w:val="ListParagraph"/>
        <w:spacing w:after="0" w:line="240" w:lineRule="auto"/>
        <w:ind w:left="294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Location of relevant documents</w:t>
      </w:r>
    </w:p>
    <w:p w:rsidR="008E2523" w:rsidRDefault="00BB377D"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wage and hour cases, courts appear more likely to emphasize other factors (e.g. location of relevant witnesses) </w:t>
      </w:r>
      <w:r w:rsidR="0072021A">
        <w:rPr>
          <w:rFonts w:ascii="Times New Roman" w:hAnsi="Times New Roman" w:cs="Times New Roman"/>
          <w:sz w:val="24"/>
          <w:szCs w:val="24"/>
        </w:rPr>
        <w:t>more heavily than the location of documents such as payroll records in a venue transfer analysis</w:t>
      </w:r>
      <w:r w:rsidR="007463C6">
        <w:rPr>
          <w:rFonts w:ascii="Times New Roman" w:hAnsi="Times New Roman" w:cs="Times New Roman"/>
          <w:sz w:val="24"/>
          <w:szCs w:val="24"/>
        </w:rPr>
        <w:t>.</w:t>
      </w:r>
    </w:p>
    <w:p w:rsidR="0072021A" w:rsidRDefault="009F4320"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Taylor v. Texas Credit Corp.</w:t>
      </w:r>
      <w:r>
        <w:rPr>
          <w:rFonts w:ascii="Times New Roman" w:hAnsi="Times New Roman" w:cs="Times New Roman"/>
          <w:sz w:val="24"/>
          <w:szCs w:val="24"/>
        </w:rPr>
        <w:t>, No. G-10-416, 2011 WL 201467, at *</w:t>
      </w:r>
      <w:r w:rsidR="008C274A">
        <w:rPr>
          <w:rFonts w:ascii="Times New Roman" w:hAnsi="Times New Roman" w:cs="Times New Roman"/>
          <w:sz w:val="24"/>
          <w:szCs w:val="24"/>
        </w:rPr>
        <w:t>2 (S.D. Tex. Jan. 20, 2011)</w:t>
      </w:r>
      <w:r w:rsidR="007463C6">
        <w:rPr>
          <w:rFonts w:ascii="Times New Roman" w:hAnsi="Times New Roman" w:cs="Times New Roman"/>
          <w:sz w:val="24"/>
          <w:szCs w:val="24"/>
        </w:rPr>
        <w:t>.</w:t>
      </w:r>
    </w:p>
    <w:p w:rsidR="008C274A" w:rsidRDefault="00DD79A2" w:rsidP="008C274A">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Plaintiff worked as an assistant supervisor in defendant’s Lake Jackson office in Brazoria County, and defendant’s corporate office was located in a county in the Eastern District of Texas</w:t>
      </w:r>
      <w:r w:rsidR="007463C6">
        <w:rPr>
          <w:rFonts w:ascii="Times New Roman" w:hAnsi="Times New Roman" w:cs="Times New Roman"/>
          <w:sz w:val="24"/>
          <w:szCs w:val="24"/>
        </w:rPr>
        <w:t>.</w:t>
      </w:r>
    </w:p>
    <w:p w:rsidR="006F0D2A" w:rsidRDefault="006F0D2A" w:rsidP="008C274A">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moved to transfer venue to the Eastern District of Texas primarily based on the fact that payroll records and other potentially relevant documents were located at their corporate office</w:t>
      </w:r>
      <w:r w:rsidR="00CE6BD2">
        <w:rPr>
          <w:rFonts w:ascii="Times New Roman" w:hAnsi="Times New Roman" w:cs="Times New Roman"/>
          <w:sz w:val="24"/>
          <w:szCs w:val="24"/>
        </w:rPr>
        <w:t xml:space="preserve"> in Timpson, Texas</w:t>
      </w:r>
      <w:r w:rsidR="007463C6">
        <w:rPr>
          <w:rFonts w:ascii="Times New Roman" w:hAnsi="Times New Roman" w:cs="Times New Roman"/>
          <w:sz w:val="24"/>
          <w:szCs w:val="24"/>
        </w:rPr>
        <w:t>.</w:t>
      </w:r>
    </w:p>
    <w:p w:rsidR="00DD79A2" w:rsidRDefault="006F0D2A" w:rsidP="008C274A">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court denied defendant’s motion to transfer venue, noting </w:t>
      </w:r>
      <w:r w:rsidR="00CE6BD2">
        <w:rPr>
          <w:rFonts w:ascii="Times New Roman" w:hAnsi="Times New Roman" w:cs="Times New Roman"/>
          <w:sz w:val="24"/>
          <w:szCs w:val="24"/>
        </w:rPr>
        <w:t>that “beyond the business records associated with her employment, it is unlikely that any employee who reports to work in Timpson would have personal knowledge of the plaintiff’s work attendances. Those witnesses would, more likely than not, be located in Lake Jackson where the plaintiff reported to work on a daily basis.”</w:t>
      </w:r>
    </w:p>
    <w:p w:rsidR="007463C6" w:rsidRDefault="007463C6">
      <w:pPr>
        <w:rPr>
          <w:rFonts w:ascii="Times New Roman" w:hAnsi="Times New Roman" w:cs="Times New Roman"/>
          <w:sz w:val="24"/>
          <w:szCs w:val="24"/>
        </w:rPr>
      </w:pPr>
      <w:r>
        <w:rPr>
          <w:rFonts w:ascii="Times New Roman" w:hAnsi="Times New Roman" w:cs="Times New Roman"/>
          <w:sz w:val="24"/>
          <w:szCs w:val="24"/>
        </w:rPr>
        <w:br w:type="page"/>
      </w:r>
    </w:p>
    <w:p w:rsidR="007463C6" w:rsidRDefault="007463C6" w:rsidP="007463C6">
      <w:pPr>
        <w:pStyle w:val="ListParagraph"/>
        <w:spacing w:after="0" w:line="240" w:lineRule="auto"/>
        <w:ind w:left="366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Convenience of the parties</w:t>
      </w:r>
    </w:p>
    <w:p w:rsidR="008E2523" w:rsidRDefault="008646CC"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Convenience of the parties often takes into account the travel times for the plaintiff and plaintiff’s witnesses, as well as the defendant and defendant’s witnesses</w:t>
      </w:r>
      <w:r w:rsidR="007463C6">
        <w:rPr>
          <w:rFonts w:ascii="Times New Roman" w:hAnsi="Times New Roman" w:cs="Times New Roman"/>
          <w:sz w:val="24"/>
          <w:szCs w:val="24"/>
        </w:rPr>
        <w:t>.</w:t>
      </w:r>
    </w:p>
    <w:p w:rsidR="00A92E26" w:rsidRDefault="00A92E26" w:rsidP="00A92E26">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Taylor v. Texas Credit Corp.</w:t>
      </w:r>
      <w:r>
        <w:rPr>
          <w:rFonts w:ascii="Times New Roman" w:hAnsi="Times New Roman" w:cs="Times New Roman"/>
          <w:sz w:val="24"/>
          <w:szCs w:val="24"/>
        </w:rPr>
        <w:t>, No. G-10-416, 2011 WL 201467, at *</w:t>
      </w:r>
      <w:r w:rsidR="00FD2770">
        <w:rPr>
          <w:rFonts w:ascii="Times New Roman" w:hAnsi="Times New Roman" w:cs="Times New Roman"/>
          <w:sz w:val="24"/>
          <w:szCs w:val="24"/>
        </w:rPr>
        <w:t>3</w:t>
      </w:r>
      <w:r>
        <w:rPr>
          <w:rFonts w:ascii="Times New Roman" w:hAnsi="Times New Roman" w:cs="Times New Roman"/>
          <w:sz w:val="24"/>
          <w:szCs w:val="24"/>
        </w:rPr>
        <w:t xml:space="preserve"> (S.D. Tex. Jan. 20, 2011)—court denied motion to transfer venue, noting the presence of persons with knowledge of relevant facts in the Southern District of Texas, as well as essentially no differences between plaintiff and defendant (and their witnesses) in terms of convenience of travel</w:t>
      </w:r>
      <w:r w:rsidR="007463C6">
        <w:rPr>
          <w:rFonts w:ascii="Times New Roman" w:hAnsi="Times New Roman" w:cs="Times New Roman"/>
          <w:sz w:val="24"/>
          <w:szCs w:val="24"/>
        </w:rPr>
        <w:t>.</w:t>
      </w:r>
    </w:p>
    <w:p w:rsidR="007463C6" w:rsidRPr="00A92E26" w:rsidRDefault="007463C6" w:rsidP="007463C6">
      <w:pPr>
        <w:pStyle w:val="ListParagraph"/>
        <w:spacing w:after="0" w:line="240" w:lineRule="auto"/>
        <w:ind w:left="294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Locus of operative facts</w:t>
      </w:r>
      <w:r w:rsidR="003508A2">
        <w:rPr>
          <w:rFonts w:ascii="Times New Roman" w:hAnsi="Times New Roman" w:cs="Times New Roman"/>
          <w:sz w:val="24"/>
          <w:szCs w:val="24"/>
        </w:rPr>
        <w:t xml:space="preserve"> (local interest)</w:t>
      </w:r>
    </w:p>
    <w:p w:rsidR="008E2523" w:rsidRDefault="00B519AC"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are particularly hesitant to transfer a wage and hour case away from a venue where most of the facts occurred, which often translates to where the plaintiff worked</w:t>
      </w:r>
      <w:r w:rsidR="007463C6">
        <w:rPr>
          <w:rFonts w:ascii="Times New Roman" w:hAnsi="Times New Roman" w:cs="Times New Roman"/>
          <w:sz w:val="24"/>
          <w:szCs w:val="24"/>
        </w:rPr>
        <w:t>.</w:t>
      </w:r>
    </w:p>
    <w:p w:rsidR="00292C3A" w:rsidRDefault="00292C3A"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See Taylor v. Texas Credit Corp.</w:t>
      </w:r>
      <w:r>
        <w:rPr>
          <w:rFonts w:ascii="Times New Roman" w:hAnsi="Times New Roman" w:cs="Times New Roman"/>
          <w:sz w:val="24"/>
          <w:szCs w:val="24"/>
        </w:rPr>
        <w:t>, No. G-10-416, 2011 WL 201467, at *2 (S.D. Tex. Jan. 20, 2011) (denying transfer where plaintiff worked in the Southern District, despite corporate headquarters being located in the Eastern District of Texas)</w:t>
      </w:r>
      <w:r w:rsidR="00220790">
        <w:rPr>
          <w:rFonts w:ascii="Times New Roman" w:hAnsi="Times New Roman" w:cs="Times New Roman"/>
          <w:sz w:val="24"/>
          <w:szCs w:val="24"/>
        </w:rPr>
        <w:t xml:space="preserve">; </w:t>
      </w:r>
      <w:r w:rsidR="00220790">
        <w:rPr>
          <w:rFonts w:ascii="Times New Roman" w:hAnsi="Times New Roman" w:cs="Times New Roman"/>
          <w:i/>
          <w:sz w:val="24"/>
          <w:szCs w:val="24"/>
        </w:rPr>
        <w:t>Barnes v. Petroleum Coordinators, Inc.</w:t>
      </w:r>
      <w:r w:rsidR="00220790">
        <w:rPr>
          <w:rFonts w:ascii="Times New Roman" w:hAnsi="Times New Roman" w:cs="Times New Roman"/>
          <w:sz w:val="24"/>
          <w:szCs w:val="24"/>
        </w:rPr>
        <w:t>, No. 12-1132, 2012 U.S. Dist. LEXIS 142435, at *7–8 (S.D. Tex. Oct. 2, 2012) (Miller, J.) (similar outcome in the context of a collective action where collective action members worked in Houston)</w:t>
      </w:r>
      <w:r w:rsidR="007463C6">
        <w:rPr>
          <w:rFonts w:ascii="Times New Roman" w:hAnsi="Times New Roman" w:cs="Times New Roman"/>
          <w:sz w:val="24"/>
          <w:szCs w:val="24"/>
        </w:rPr>
        <w:t>.</w:t>
      </w:r>
    </w:p>
    <w:p w:rsidR="007463C6" w:rsidRDefault="007463C6" w:rsidP="007463C6">
      <w:pPr>
        <w:pStyle w:val="ListParagraph"/>
        <w:spacing w:after="0" w:line="240" w:lineRule="auto"/>
        <w:ind w:left="294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Availability of process to compel witnesses</w:t>
      </w:r>
    </w:p>
    <w:p w:rsidR="008E2523" w:rsidRDefault="00340138"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Inability to compel key witnesses in original venue weighs in favor of transfer, but m</w:t>
      </w:r>
      <w:r w:rsidR="00643E5E">
        <w:rPr>
          <w:rFonts w:ascii="Times New Roman" w:hAnsi="Times New Roman" w:cs="Times New Roman"/>
          <w:sz w:val="24"/>
          <w:szCs w:val="24"/>
        </w:rPr>
        <w:t>ovants for transfer must specifically identify key witnesses and outline the substance of their testimony</w:t>
      </w:r>
      <w:r w:rsidR="008B5449">
        <w:rPr>
          <w:rFonts w:ascii="Times New Roman" w:hAnsi="Times New Roman" w:cs="Times New Roman"/>
          <w:sz w:val="24"/>
          <w:szCs w:val="24"/>
        </w:rPr>
        <w:t>—</w:t>
      </w:r>
      <w:r w:rsidR="008865CD">
        <w:rPr>
          <w:rFonts w:ascii="Times New Roman" w:hAnsi="Times New Roman" w:cs="Times New Roman"/>
          <w:i/>
          <w:sz w:val="24"/>
          <w:szCs w:val="24"/>
        </w:rPr>
        <w:t>Barnes v. Petroleum Coordinators, Inc.</w:t>
      </w:r>
      <w:r w:rsidR="008865CD">
        <w:rPr>
          <w:rFonts w:ascii="Times New Roman" w:hAnsi="Times New Roman" w:cs="Times New Roman"/>
          <w:sz w:val="24"/>
          <w:szCs w:val="24"/>
        </w:rPr>
        <w:t xml:space="preserve">, No. 12-1132, 2012 U.S. Dist. LEXIS 142435, at *7–8 (S.D. </w:t>
      </w:r>
      <w:r w:rsidR="008B5449">
        <w:rPr>
          <w:rFonts w:ascii="Times New Roman" w:hAnsi="Times New Roman" w:cs="Times New Roman"/>
          <w:sz w:val="24"/>
          <w:szCs w:val="24"/>
        </w:rPr>
        <w:t>Tex. Oct. 2, 2012) (Miller, J.)</w:t>
      </w:r>
      <w:r w:rsidR="007463C6">
        <w:rPr>
          <w:rFonts w:ascii="Times New Roman" w:hAnsi="Times New Roman" w:cs="Times New Roman"/>
          <w:sz w:val="24"/>
          <w:szCs w:val="24"/>
        </w:rPr>
        <w:t>.</w:t>
      </w:r>
    </w:p>
    <w:p w:rsidR="007463C6" w:rsidRDefault="007463C6" w:rsidP="007463C6">
      <w:pPr>
        <w:pStyle w:val="ListParagraph"/>
        <w:spacing w:after="0" w:line="240" w:lineRule="auto"/>
        <w:ind w:left="294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Relative means of the parties</w:t>
      </w:r>
    </w:p>
    <w:p w:rsidR="008E2523" w:rsidRDefault="0021478F"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tend to balance the potential costs to parties in terms of discovery, primarily focusing on the locations of witnesses and travel times</w:t>
      </w:r>
      <w:r w:rsidR="007463C6">
        <w:rPr>
          <w:rFonts w:ascii="Times New Roman" w:hAnsi="Times New Roman" w:cs="Times New Roman"/>
          <w:sz w:val="24"/>
          <w:szCs w:val="24"/>
        </w:rPr>
        <w:t>.</w:t>
      </w:r>
    </w:p>
    <w:p w:rsidR="0021478F" w:rsidRDefault="000204B5"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 most witnesses reside in or near the original venue, the fact that some witnesses (i.e. corporate representatives) may have to travel further distances to testify tends to weigh in favor of denying transfer, for example (</w:t>
      </w:r>
      <w:r>
        <w:rPr>
          <w:rFonts w:ascii="Times New Roman" w:hAnsi="Times New Roman" w:cs="Times New Roman"/>
          <w:i/>
          <w:sz w:val="24"/>
          <w:szCs w:val="24"/>
        </w:rPr>
        <w:t>Barnes v. Petroleum Coordinators, Inc.</w:t>
      </w:r>
      <w:r>
        <w:rPr>
          <w:rFonts w:ascii="Times New Roman" w:hAnsi="Times New Roman" w:cs="Times New Roman"/>
          <w:sz w:val="24"/>
          <w:szCs w:val="24"/>
        </w:rPr>
        <w:t>, No. 12-1132, 2012 U.S. Dist. LEXIS 142435, at *</w:t>
      </w:r>
      <w:r w:rsidR="00F20481">
        <w:rPr>
          <w:rFonts w:ascii="Times New Roman" w:hAnsi="Times New Roman" w:cs="Times New Roman"/>
          <w:sz w:val="24"/>
          <w:szCs w:val="24"/>
        </w:rPr>
        <w:t>8–9</w:t>
      </w:r>
      <w:r>
        <w:rPr>
          <w:rFonts w:ascii="Times New Roman" w:hAnsi="Times New Roman" w:cs="Times New Roman"/>
          <w:sz w:val="24"/>
          <w:szCs w:val="24"/>
        </w:rPr>
        <w:t xml:space="preserve"> (S.D. Tex. Oct. 2, 2012) (Miller, J.))</w:t>
      </w:r>
      <w:r w:rsidR="007463C6">
        <w:rPr>
          <w:rFonts w:ascii="Times New Roman" w:hAnsi="Times New Roman" w:cs="Times New Roman"/>
          <w:sz w:val="24"/>
          <w:szCs w:val="24"/>
        </w:rPr>
        <w:t>.</w:t>
      </w:r>
    </w:p>
    <w:p w:rsidR="007463C6" w:rsidRDefault="007463C6">
      <w:pPr>
        <w:rPr>
          <w:rFonts w:ascii="Times New Roman" w:hAnsi="Times New Roman" w:cs="Times New Roman"/>
          <w:sz w:val="24"/>
          <w:szCs w:val="24"/>
        </w:rPr>
      </w:pPr>
      <w:r>
        <w:rPr>
          <w:rFonts w:ascii="Times New Roman" w:hAnsi="Times New Roman" w:cs="Times New Roman"/>
          <w:sz w:val="24"/>
          <w:szCs w:val="24"/>
        </w:rPr>
        <w:br w:type="page"/>
      </w:r>
    </w:p>
    <w:p w:rsidR="007463C6" w:rsidRDefault="007463C6" w:rsidP="007463C6">
      <w:pPr>
        <w:pStyle w:val="ListParagraph"/>
        <w:spacing w:after="0" w:line="240" w:lineRule="auto"/>
        <w:ind w:left="294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Forums familiarity with governing law</w:t>
      </w:r>
    </w:p>
    <w:p w:rsidR="008E2523" w:rsidRDefault="00D22DE1"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controversy is governed by state law, the court should consider the desirability of having a case decided by a court in a state whose substantive law governs the action</w:t>
      </w:r>
      <w:r w:rsidR="00E44639">
        <w:rPr>
          <w:rFonts w:ascii="Times New Roman" w:hAnsi="Times New Roman" w:cs="Times New Roman"/>
          <w:sz w:val="24"/>
          <w:szCs w:val="24"/>
        </w:rPr>
        <w:t>; but this factor is neutral when the predominant issues in the case involve federal law—</w:t>
      </w:r>
      <w:r w:rsidR="00E44639" w:rsidRPr="00E44639">
        <w:rPr>
          <w:rFonts w:ascii="Times New Roman" w:hAnsi="Times New Roman" w:cs="Times New Roman"/>
          <w:i/>
          <w:sz w:val="24"/>
          <w:szCs w:val="24"/>
        </w:rPr>
        <w:t xml:space="preserve"> </w:t>
      </w:r>
      <w:r w:rsidR="00E44639">
        <w:rPr>
          <w:rFonts w:ascii="Times New Roman" w:hAnsi="Times New Roman" w:cs="Times New Roman"/>
          <w:i/>
          <w:sz w:val="24"/>
          <w:szCs w:val="24"/>
        </w:rPr>
        <w:t>Barnes v. Petroleum Coordinators, Inc.</w:t>
      </w:r>
      <w:r w:rsidR="00E44639">
        <w:rPr>
          <w:rFonts w:ascii="Times New Roman" w:hAnsi="Times New Roman" w:cs="Times New Roman"/>
          <w:sz w:val="24"/>
          <w:szCs w:val="24"/>
        </w:rPr>
        <w:t>, No. 12-1132, 2012 U.S. Dist. LEXIS 142435, at *10</w:t>
      </w:r>
      <w:r w:rsidR="00650653">
        <w:rPr>
          <w:rFonts w:ascii="Times New Roman" w:hAnsi="Times New Roman" w:cs="Times New Roman"/>
          <w:sz w:val="24"/>
          <w:szCs w:val="24"/>
        </w:rPr>
        <w:t>–11</w:t>
      </w:r>
      <w:r w:rsidR="00E44639">
        <w:rPr>
          <w:rFonts w:ascii="Times New Roman" w:hAnsi="Times New Roman" w:cs="Times New Roman"/>
          <w:sz w:val="24"/>
          <w:szCs w:val="24"/>
        </w:rPr>
        <w:t xml:space="preserve"> (S.D. Tex. Oct. 2, 2012) (Miller, J.) (finding the factor neutral in case involving FLSA claims)</w:t>
      </w:r>
      <w:r w:rsidR="007463C6">
        <w:rPr>
          <w:rFonts w:ascii="Times New Roman" w:hAnsi="Times New Roman" w:cs="Times New Roman"/>
          <w:sz w:val="24"/>
          <w:szCs w:val="24"/>
        </w:rPr>
        <w:t>.</w:t>
      </w:r>
    </w:p>
    <w:p w:rsidR="007463C6" w:rsidRDefault="007463C6" w:rsidP="007463C6">
      <w:pPr>
        <w:pStyle w:val="ListParagraph"/>
        <w:spacing w:after="0" w:line="240" w:lineRule="auto"/>
        <w:ind w:left="2940"/>
        <w:jc w:val="both"/>
        <w:rPr>
          <w:rFonts w:ascii="Times New Roman" w:hAnsi="Times New Roman" w:cs="Times New Roman"/>
          <w:sz w:val="24"/>
          <w:szCs w:val="24"/>
        </w:rPr>
      </w:pPr>
    </w:p>
    <w:p w:rsidR="003B6CB7" w:rsidRDefault="003B6CB7" w:rsidP="003B6CB7">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Trial efficiency and interests of justice</w:t>
      </w:r>
    </w:p>
    <w:p w:rsidR="008E2523" w:rsidRDefault="00A50F28"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often examine typical case disposition times and availability of judges in the venue to which transfer is sought</w:t>
      </w:r>
      <w:r w:rsidR="007463C6">
        <w:rPr>
          <w:rFonts w:ascii="Times New Roman" w:hAnsi="Times New Roman" w:cs="Times New Roman"/>
          <w:sz w:val="24"/>
          <w:szCs w:val="24"/>
        </w:rPr>
        <w:t>.</w:t>
      </w:r>
    </w:p>
    <w:p w:rsidR="00A50F28" w:rsidRDefault="00A50F28" w:rsidP="008E2523">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Barnes v. Petroleum Coordinators, Inc.</w:t>
      </w:r>
      <w:r>
        <w:rPr>
          <w:rFonts w:ascii="Times New Roman" w:hAnsi="Times New Roman" w:cs="Times New Roman"/>
          <w:sz w:val="24"/>
          <w:szCs w:val="24"/>
        </w:rPr>
        <w:t>, No. 12-1132, 2012 U.S. Dist. LEXIS 142435, at *9–10 (S.D. Tex. Oct. 2, 2012) (Miller, J.) (finding the factor neutral in an FLSA collective action where median disposition times were equivalent to the original venue)</w:t>
      </w:r>
      <w:r w:rsidR="007463C6">
        <w:rPr>
          <w:rFonts w:ascii="Times New Roman" w:hAnsi="Times New Roman" w:cs="Times New Roman"/>
          <w:sz w:val="24"/>
          <w:szCs w:val="24"/>
        </w:rPr>
        <w:t>.</w:t>
      </w:r>
    </w:p>
    <w:p w:rsidR="00A50F28" w:rsidRDefault="00A50F28" w:rsidP="008E2523">
      <w:pPr>
        <w:pStyle w:val="ListParagraph"/>
        <w:numPr>
          <w:ilvl w:val="2"/>
          <w:numId w:val="3"/>
        </w:numPr>
        <w:spacing w:after="0" w:line="240" w:lineRule="auto"/>
        <w:jc w:val="both"/>
        <w:rPr>
          <w:rFonts w:ascii="Times New Roman" w:hAnsi="Times New Roman" w:cs="Times New Roman"/>
          <w:sz w:val="24"/>
          <w:szCs w:val="24"/>
        </w:rPr>
      </w:pPr>
      <w:r w:rsidRPr="00A50F28">
        <w:rPr>
          <w:rFonts w:ascii="Times New Roman" w:hAnsi="Times New Roman" w:cs="Times New Roman"/>
          <w:i/>
          <w:sz w:val="24"/>
          <w:szCs w:val="24"/>
        </w:rPr>
        <w:t>Kervin v. Supreme Service &amp; Specialty Co., Inc.</w:t>
      </w:r>
      <w:r>
        <w:rPr>
          <w:rFonts w:ascii="Times New Roman" w:hAnsi="Times New Roman" w:cs="Times New Roman"/>
          <w:sz w:val="24"/>
          <w:szCs w:val="24"/>
        </w:rPr>
        <w:t>, No. 2:15-cv-102, 2015 WL 1540157, at *5 (S.D. Tex. Apr. 7, 2015) (finding the factor favored transfer when the venue to which transfer was sought had more active judges who could handle civil cases)</w:t>
      </w:r>
      <w:r w:rsidR="007463C6">
        <w:rPr>
          <w:rFonts w:ascii="Times New Roman" w:hAnsi="Times New Roman" w:cs="Times New Roman"/>
          <w:sz w:val="24"/>
          <w:szCs w:val="24"/>
        </w:rPr>
        <w:t>.</w:t>
      </w:r>
    </w:p>
    <w:p w:rsidR="003B6CB7" w:rsidRDefault="003B6CB7" w:rsidP="003B6CB7">
      <w:pPr>
        <w:pStyle w:val="ListParagraph"/>
        <w:spacing w:after="0" w:line="240" w:lineRule="auto"/>
        <w:ind w:left="2220"/>
        <w:jc w:val="both"/>
        <w:rPr>
          <w:rFonts w:ascii="Times New Roman" w:hAnsi="Times New Roman" w:cs="Times New Roman"/>
          <w:sz w:val="24"/>
          <w:szCs w:val="24"/>
        </w:rPr>
      </w:pPr>
    </w:p>
    <w:p w:rsidR="003B6CB7" w:rsidRPr="007463C6" w:rsidRDefault="003B6CB7" w:rsidP="004F6F6B">
      <w:pPr>
        <w:pStyle w:val="ListParagraph"/>
        <w:numPr>
          <w:ilvl w:val="0"/>
          <w:numId w:val="3"/>
        </w:numPr>
        <w:spacing w:after="0" w:line="240" w:lineRule="auto"/>
        <w:jc w:val="both"/>
        <w:rPr>
          <w:rFonts w:ascii="Times New Roman" w:hAnsi="Times New Roman" w:cs="Times New Roman"/>
          <w:b/>
          <w:sz w:val="24"/>
          <w:szCs w:val="24"/>
        </w:rPr>
      </w:pPr>
      <w:r w:rsidRPr="007463C6">
        <w:rPr>
          <w:rFonts w:ascii="Times New Roman" w:hAnsi="Times New Roman" w:cs="Times New Roman"/>
          <w:b/>
          <w:sz w:val="24"/>
          <w:szCs w:val="24"/>
        </w:rPr>
        <w:t>First to File Rule</w:t>
      </w:r>
    </w:p>
    <w:p w:rsidR="004047AD" w:rsidRDefault="00B6525D" w:rsidP="004047AD">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Rule</w:t>
      </w:r>
      <w:r w:rsidR="00D05C33">
        <w:rPr>
          <w:rFonts w:ascii="Times New Roman" w:hAnsi="Times New Roman" w:cs="Times New Roman"/>
          <w:sz w:val="24"/>
          <w:szCs w:val="24"/>
        </w:rPr>
        <w:t>:</w:t>
      </w:r>
    </w:p>
    <w:p w:rsidR="00B6525D" w:rsidRDefault="00F81827" w:rsidP="00B6525D">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Discretionary doctrine that applies when there are related cases pending between two federal courts and the court in the second-filed action determines that the issues raised “substantially overlap”—</w:t>
      </w:r>
      <w:r>
        <w:rPr>
          <w:rFonts w:ascii="Times New Roman" w:hAnsi="Times New Roman" w:cs="Times New Roman"/>
          <w:i/>
          <w:sz w:val="24"/>
          <w:szCs w:val="24"/>
        </w:rPr>
        <w:t>McGrew v. Quinn’s Rental Servs. (USA), LLC</w:t>
      </w:r>
      <w:r>
        <w:rPr>
          <w:rFonts w:ascii="Times New Roman" w:hAnsi="Times New Roman" w:cs="Times New Roman"/>
          <w:sz w:val="24"/>
          <w:szCs w:val="24"/>
        </w:rPr>
        <w:t>, No. H-16-543, 2016 U.S. Dist. LEXIS 96437, at *3–4 (S.D. Tex. July 25, 2016) (Miller, J.)</w:t>
      </w:r>
      <w:r w:rsidR="004875C3">
        <w:rPr>
          <w:rFonts w:ascii="Times New Roman" w:hAnsi="Times New Roman" w:cs="Times New Roman"/>
          <w:sz w:val="24"/>
          <w:szCs w:val="24"/>
        </w:rPr>
        <w:t xml:space="preserve"> (citing </w:t>
      </w:r>
      <w:r w:rsidR="004875C3">
        <w:rPr>
          <w:rFonts w:ascii="Times New Roman" w:hAnsi="Times New Roman" w:cs="Times New Roman"/>
          <w:i/>
          <w:sz w:val="24"/>
          <w:szCs w:val="24"/>
        </w:rPr>
        <w:t>Cadle Co. v. Whataburger of Alice, Inc.</w:t>
      </w:r>
      <w:r w:rsidR="004875C3">
        <w:rPr>
          <w:rFonts w:ascii="Times New Roman" w:hAnsi="Times New Roman" w:cs="Times New Roman"/>
          <w:sz w:val="24"/>
          <w:szCs w:val="24"/>
        </w:rPr>
        <w:t>, 174 F.3d 599, 603 (5th Cir. 1999))</w:t>
      </w:r>
      <w:r w:rsidR="007463C6">
        <w:rPr>
          <w:rFonts w:ascii="Times New Roman" w:hAnsi="Times New Roman" w:cs="Times New Roman"/>
          <w:sz w:val="24"/>
          <w:szCs w:val="24"/>
        </w:rPr>
        <w:t>.</w:t>
      </w:r>
    </w:p>
    <w:p w:rsidR="00F81827" w:rsidRDefault="00F81827" w:rsidP="00F81827">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options—dismiss case, stay the case, or transfer to the first-filed court</w:t>
      </w:r>
    </w:p>
    <w:p w:rsidR="00007BC0" w:rsidRDefault="00007BC0" w:rsidP="00007BC0">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identity of parties and issues need not be shown—a “substantial overlap” suffices; once a likelihood of substantial overlap is shown, plaintiff must demonstrate compelling circumstances that caution against transfer in order to avoid application of the rule—</w:t>
      </w:r>
      <w:r>
        <w:rPr>
          <w:rFonts w:ascii="Times New Roman" w:hAnsi="Times New Roman" w:cs="Times New Roman"/>
          <w:i/>
          <w:sz w:val="24"/>
          <w:szCs w:val="24"/>
        </w:rPr>
        <w:t>Salazar v. Bloomin’ Brands, Inc.</w:t>
      </w:r>
      <w:r>
        <w:rPr>
          <w:rFonts w:ascii="Times New Roman" w:hAnsi="Times New Roman" w:cs="Times New Roman"/>
          <w:sz w:val="24"/>
          <w:szCs w:val="24"/>
        </w:rPr>
        <w:t>, No. 2:15-cv-105, 2016 WL 1028371, at *2 (S.D. Tex. Mar. 15, 2016)</w:t>
      </w:r>
      <w:r w:rsidR="007463C6">
        <w:rPr>
          <w:rFonts w:ascii="Times New Roman" w:hAnsi="Times New Roman" w:cs="Times New Roman"/>
          <w:sz w:val="24"/>
          <w:szCs w:val="24"/>
        </w:rPr>
        <w:t>.</w:t>
      </w:r>
    </w:p>
    <w:p w:rsidR="007463C6" w:rsidRDefault="007463C6" w:rsidP="00007BC0">
      <w:pPr>
        <w:pStyle w:val="ListParagraph"/>
        <w:numPr>
          <w:ilvl w:val="2"/>
          <w:numId w:val="3"/>
        </w:numPr>
        <w:spacing w:after="0" w:line="240" w:lineRule="auto"/>
        <w:jc w:val="both"/>
        <w:rPr>
          <w:rFonts w:ascii="Times New Roman" w:hAnsi="Times New Roman" w:cs="Times New Roman"/>
          <w:sz w:val="24"/>
          <w:szCs w:val="24"/>
        </w:rPr>
      </w:pPr>
    </w:p>
    <w:p w:rsidR="004047AD" w:rsidRDefault="004047AD" w:rsidP="004047AD">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Factors:</w:t>
      </w:r>
    </w:p>
    <w:p w:rsidR="003B6CB7" w:rsidRDefault="003B6CB7" w:rsidP="004047AD">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 same issues involved</w:t>
      </w:r>
      <w:r w:rsidR="002E0DEA">
        <w:rPr>
          <w:rFonts w:ascii="Times New Roman" w:hAnsi="Times New Roman" w:cs="Times New Roman"/>
          <w:sz w:val="24"/>
          <w:szCs w:val="24"/>
        </w:rPr>
        <w:t>?</w:t>
      </w:r>
    </w:p>
    <w:p w:rsidR="003B6CB7" w:rsidRDefault="003B6CB7" w:rsidP="004047AD">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the same classes of workers involved</w:t>
      </w:r>
      <w:r w:rsidR="002E0DEA">
        <w:rPr>
          <w:rFonts w:ascii="Times New Roman" w:hAnsi="Times New Roman" w:cs="Times New Roman"/>
          <w:sz w:val="24"/>
          <w:szCs w:val="24"/>
        </w:rPr>
        <w:t>?</w:t>
      </w:r>
    </w:p>
    <w:p w:rsidR="003B6CB7" w:rsidRDefault="003B6CB7" w:rsidP="004047AD">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Balance of convenience factors</w:t>
      </w:r>
    </w:p>
    <w:p w:rsidR="004047AD" w:rsidRDefault="004047AD" w:rsidP="004047AD">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Case Examples</w:t>
      </w:r>
      <w:r w:rsidR="00D05C33">
        <w:rPr>
          <w:rFonts w:ascii="Times New Roman" w:hAnsi="Times New Roman" w:cs="Times New Roman"/>
          <w:sz w:val="24"/>
          <w:szCs w:val="24"/>
        </w:rPr>
        <w:t xml:space="preserve"> from the Southern District of Texas:</w:t>
      </w:r>
    </w:p>
    <w:p w:rsidR="007171E9" w:rsidRDefault="00216351" w:rsidP="007171E9">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McGrew v. Quinn’s Rental Servs. (USA), LLC</w:t>
      </w:r>
      <w:r>
        <w:rPr>
          <w:rFonts w:ascii="Times New Roman" w:hAnsi="Times New Roman" w:cs="Times New Roman"/>
          <w:sz w:val="24"/>
          <w:szCs w:val="24"/>
        </w:rPr>
        <w:t>, No. H-16-543, 2016 U.S. Dist. LEXIS 96437 (S.D. Tex. July 25, 2016) (Miller, J.)</w:t>
      </w:r>
    </w:p>
    <w:p w:rsidR="007171E9" w:rsidRDefault="007171E9" w:rsidP="007171E9">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Gary Self filed FLSA collective action against Quinn in June 2015 alleging misclassification and improper denial of overtime pay; McGrew filed FLSA collective action against Quinn in March 2016 alleging Quinn improperly calculated overtime pay</w:t>
      </w:r>
      <w:r w:rsidR="007463C6">
        <w:rPr>
          <w:rFonts w:ascii="Times New Roman" w:hAnsi="Times New Roman" w:cs="Times New Roman"/>
          <w:sz w:val="24"/>
          <w:szCs w:val="24"/>
        </w:rPr>
        <w:t>.</w:t>
      </w:r>
    </w:p>
    <w:p w:rsidR="007171E9" w:rsidRDefault="007171E9" w:rsidP="007171E9">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 denied motion to transfer because the cases were “fundamentally different” and concerned two different time periods</w:t>
      </w:r>
      <w:r w:rsidR="00E96BA7">
        <w:rPr>
          <w:rFonts w:ascii="Times New Roman" w:hAnsi="Times New Roman" w:cs="Times New Roman"/>
          <w:sz w:val="24"/>
          <w:szCs w:val="24"/>
        </w:rPr>
        <w:t>, so no substantial overlap</w:t>
      </w:r>
      <w:r>
        <w:rPr>
          <w:rFonts w:ascii="Times New Roman" w:hAnsi="Times New Roman" w:cs="Times New Roman"/>
          <w:sz w:val="24"/>
          <w:szCs w:val="24"/>
        </w:rPr>
        <w:t>—one dealt with misclassification (with a time period of June 2012 through June 2015) and one dealt with whether the employer properly calculated the amount of overtime paid (with a time period of July 2015 through November 2015)</w:t>
      </w:r>
      <w:r w:rsidR="007463C6">
        <w:rPr>
          <w:rFonts w:ascii="Times New Roman" w:hAnsi="Times New Roman" w:cs="Times New Roman"/>
          <w:sz w:val="24"/>
          <w:szCs w:val="24"/>
        </w:rPr>
        <w:t>.</w:t>
      </w:r>
    </w:p>
    <w:p w:rsidR="00A06056" w:rsidRDefault="001615DF" w:rsidP="00A06056">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Hagans v. Integrated Prod. Servs., Inc.</w:t>
      </w:r>
      <w:r>
        <w:rPr>
          <w:rFonts w:ascii="Times New Roman" w:hAnsi="Times New Roman" w:cs="Times New Roman"/>
          <w:sz w:val="24"/>
          <w:szCs w:val="24"/>
        </w:rPr>
        <w:t>, No. H-14-2965, 2015 WL 236646 (S.D. Tex. Jan. 16, 2015)</w:t>
      </w:r>
      <w:r w:rsidR="007463C6">
        <w:rPr>
          <w:rFonts w:ascii="Times New Roman" w:hAnsi="Times New Roman" w:cs="Times New Roman"/>
          <w:sz w:val="24"/>
          <w:szCs w:val="24"/>
        </w:rPr>
        <w:t>.</w:t>
      </w:r>
    </w:p>
    <w:p w:rsidR="001615DF" w:rsidRDefault="001321FA" w:rsidP="001615DF">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Hagans filed suit in October 2014 alleging defendants violated the FLSA by misclassifying him as exempt when he worked as a coil tubing operator</w:t>
      </w:r>
      <w:r w:rsidR="007463C6">
        <w:rPr>
          <w:rFonts w:ascii="Times New Roman" w:hAnsi="Times New Roman" w:cs="Times New Roman"/>
          <w:sz w:val="24"/>
          <w:szCs w:val="24"/>
        </w:rPr>
        <w:t>.</w:t>
      </w:r>
    </w:p>
    <w:p w:rsidR="001321FA" w:rsidRDefault="001321FA" w:rsidP="001615DF">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May 2013, other former employees of defendants (including coil tubing operators) brought an FLSA collective action (which was conditionally certified at the time the court heard this motion) against defendants alleging misclassification</w:t>
      </w:r>
      <w:r w:rsidR="007463C6">
        <w:rPr>
          <w:rFonts w:ascii="Times New Roman" w:hAnsi="Times New Roman" w:cs="Times New Roman"/>
          <w:sz w:val="24"/>
          <w:szCs w:val="24"/>
        </w:rPr>
        <w:t>.</w:t>
      </w:r>
    </w:p>
    <w:p w:rsidR="001321FA" w:rsidRDefault="001321FA" w:rsidP="001615DF">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court transferred the case, finding substantial overlap</w:t>
      </w:r>
      <w:r w:rsidR="007463C6">
        <w:rPr>
          <w:rFonts w:ascii="Times New Roman" w:hAnsi="Times New Roman" w:cs="Times New Roman"/>
          <w:sz w:val="24"/>
          <w:szCs w:val="24"/>
        </w:rPr>
        <w:t>.</w:t>
      </w:r>
    </w:p>
    <w:p w:rsidR="003B62DC" w:rsidRDefault="004C732B" w:rsidP="004C732B">
      <w:pPr>
        <w:pStyle w:val="ListParagraph"/>
        <w:numPr>
          <w:ilvl w:val="2"/>
          <w:numId w:val="3"/>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Tillery v. Higman Barge Lines, Inc.</w:t>
      </w:r>
      <w:r>
        <w:rPr>
          <w:rFonts w:ascii="Times New Roman" w:hAnsi="Times New Roman" w:cs="Times New Roman"/>
          <w:sz w:val="24"/>
          <w:szCs w:val="24"/>
        </w:rPr>
        <w:t>, No. 2:14-cv-40, 2014 WL 1689942 (S.D. Tex. Apr. 29, 2014)</w:t>
      </w:r>
      <w:r w:rsidR="007463C6">
        <w:rPr>
          <w:rFonts w:ascii="Times New Roman" w:hAnsi="Times New Roman" w:cs="Times New Roman"/>
          <w:sz w:val="24"/>
          <w:szCs w:val="24"/>
        </w:rPr>
        <w:t>.</w:t>
      </w:r>
    </w:p>
    <w:p w:rsidR="004C732B" w:rsidRDefault="005A3364" w:rsidP="004C732B">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Barnett filed FLSA collective action in SD Tex (Galveston) in February 2012 alleging defendant misclassified its tankermen as exempt and failed to pay overtime wages in violation of the FLSA</w:t>
      </w:r>
      <w:r w:rsidR="007463C6">
        <w:rPr>
          <w:rFonts w:ascii="Times New Roman" w:hAnsi="Times New Roman" w:cs="Times New Roman"/>
          <w:sz w:val="24"/>
          <w:szCs w:val="24"/>
        </w:rPr>
        <w:t>.</w:t>
      </w:r>
    </w:p>
    <w:p w:rsidR="005A3364" w:rsidRDefault="005A3364" w:rsidP="004C732B">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February 2014, plaintiff Tillery brought this suit against defendant, alleging misclassification and failure to pay overtime, and seeking the same relief (back wages and liquidated damages for a three-year period)</w:t>
      </w:r>
      <w:r w:rsidR="007463C6">
        <w:rPr>
          <w:rFonts w:ascii="Times New Roman" w:hAnsi="Times New Roman" w:cs="Times New Roman"/>
          <w:sz w:val="24"/>
          <w:szCs w:val="24"/>
        </w:rPr>
        <w:t>.</w:t>
      </w:r>
    </w:p>
    <w:p w:rsidR="005A3364" w:rsidRDefault="00B02280" w:rsidP="004C732B">
      <w:pPr>
        <w:pStyle w:val="ListParagraph"/>
        <w:numPr>
          <w:ilvl w:val="3"/>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 transferred the case to the SD Tex Galveston case</w:t>
      </w:r>
      <w:r w:rsidR="000E6835">
        <w:rPr>
          <w:rFonts w:ascii="Times New Roman" w:hAnsi="Times New Roman" w:cs="Times New Roman"/>
          <w:sz w:val="24"/>
          <w:szCs w:val="24"/>
        </w:rPr>
        <w:t>:</w:t>
      </w:r>
    </w:p>
    <w:p w:rsidR="00B02280" w:rsidRPr="004C732B" w:rsidRDefault="00B02280" w:rsidP="00B02280">
      <w:pPr>
        <w:pStyle w:val="ListParagraph"/>
        <w:numPr>
          <w:ilvl w:val="4"/>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“[B]oth lawsuits involve the exact same legal issue; whether Defendant’s classification of its tankermen as seamen is in violation of the FLSA. The Court therefore finds that if these actions are not tried together, this would lead to judicial waste as well </w:t>
      </w:r>
      <w:r>
        <w:rPr>
          <w:rFonts w:ascii="Times New Roman" w:hAnsi="Times New Roman" w:cs="Times New Roman"/>
          <w:sz w:val="24"/>
          <w:szCs w:val="24"/>
        </w:rPr>
        <w:lastRenderedPageBreak/>
        <w:t>as piecemeal resolution of the FLSA issues, risking inconsistent judgments.”</w:t>
      </w:r>
    </w:p>
    <w:p w:rsidR="003B6CB7" w:rsidRDefault="003B6CB7" w:rsidP="003B6CB7">
      <w:pPr>
        <w:pStyle w:val="ListParagraph"/>
        <w:spacing w:after="0" w:line="240" w:lineRule="auto"/>
        <w:ind w:left="1500"/>
        <w:jc w:val="both"/>
        <w:rPr>
          <w:rFonts w:ascii="Times New Roman" w:hAnsi="Times New Roman" w:cs="Times New Roman"/>
          <w:sz w:val="24"/>
          <w:szCs w:val="24"/>
        </w:rPr>
      </w:pPr>
    </w:p>
    <w:p w:rsidR="004F6F6B" w:rsidRPr="00D05C33" w:rsidRDefault="004F6F6B" w:rsidP="003B6CB7">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B6CB7" w:rsidRPr="00D05C33">
        <w:rPr>
          <w:rFonts w:ascii="Times New Roman" w:hAnsi="Times New Roman" w:cs="Times New Roman"/>
          <w:b/>
          <w:sz w:val="24"/>
          <w:szCs w:val="24"/>
        </w:rPr>
        <w:t>What actions may a court take when there</w:t>
      </w:r>
      <w:r w:rsidRPr="00D05C33">
        <w:rPr>
          <w:rFonts w:ascii="Times New Roman" w:hAnsi="Times New Roman" w:cs="Times New Roman"/>
          <w:b/>
          <w:sz w:val="24"/>
          <w:szCs w:val="24"/>
        </w:rPr>
        <w:t xml:space="preserve"> are competing class action/collective action wage and hour cases</w:t>
      </w:r>
      <w:r w:rsidR="00F64AC2" w:rsidRPr="00D05C33">
        <w:rPr>
          <w:rFonts w:ascii="Times New Roman" w:hAnsi="Times New Roman" w:cs="Times New Roman"/>
          <w:b/>
          <w:sz w:val="24"/>
          <w:szCs w:val="24"/>
        </w:rPr>
        <w:t>?</w:t>
      </w:r>
    </w:p>
    <w:p w:rsidR="004F6F6B" w:rsidRDefault="004F6F6B" w:rsidP="004F6F6B">
      <w:pPr>
        <w:spacing w:after="0" w:line="240" w:lineRule="auto"/>
        <w:jc w:val="both"/>
        <w:rPr>
          <w:rFonts w:ascii="Times New Roman" w:hAnsi="Times New Roman" w:cs="Times New Roman"/>
          <w:sz w:val="24"/>
          <w:szCs w:val="24"/>
        </w:rPr>
      </w:pPr>
    </w:p>
    <w:p w:rsidR="004F6F6B" w:rsidRPr="007463C6" w:rsidRDefault="004F6F6B" w:rsidP="004F6F6B">
      <w:pPr>
        <w:pStyle w:val="ListParagraph"/>
        <w:numPr>
          <w:ilvl w:val="0"/>
          <w:numId w:val="2"/>
        </w:numPr>
        <w:spacing w:after="0" w:line="240" w:lineRule="auto"/>
        <w:jc w:val="both"/>
        <w:rPr>
          <w:rFonts w:ascii="Times New Roman" w:hAnsi="Times New Roman" w:cs="Times New Roman"/>
          <w:b/>
          <w:sz w:val="24"/>
          <w:szCs w:val="24"/>
        </w:rPr>
      </w:pPr>
      <w:r w:rsidRPr="007463C6">
        <w:rPr>
          <w:rFonts w:ascii="Times New Roman" w:hAnsi="Times New Roman" w:cs="Times New Roman"/>
          <w:b/>
          <w:sz w:val="24"/>
          <w:szCs w:val="24"/>
        </w:rPr>
        <w:t>Consolidation</w:t>
      </w:r>
    </w:p>
    <w:p w:rsidR="00217BDA" w:rsidRDefault="00FF5CB1" w:rsidP="00217BDA">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may consolidate substantially similar wage and hour actions, but the decision of whether to do so is typically left for the first-filed court</w:t>
      </w:r>
      <w:r w:rsidR="00DE2CCB">
        <w:rPr>
          <w:rFonts w:ascii="Times New Roman" w:hAnsi="Times New Roman" w:cs="Times New Roman"/>
          <w:sz w:val="24"/>
          <w:szCs w:val="24"/>
        </w:rPr>
        <w:t xml:space="preserve"> after another court transfers the case</w:t>
      </w:r>
      <w:r>
        <w:rPr>
          <w:rFonts w:ascii="Times New Roman" w:hAnsi="Times New Roman" w:cs="Times New Roman"/>
          <w:sz w:val="24"/>
          <w:szCs w:val="24"/>
        </w:rPr>
        <w:t>—</w:t>
      </w:r>
      <w:r>
        <w:rPr>
          <w:rFonts w:ascii="Times New Roman" w:hAnsi="Times New Roman" w:cs="Times New Roman"/>
          <w:i/>
          <w:sz w:val="24"/>
          <w:szCs w:val="24"/>
        </w:rPr>
        <w:t>Salazar v. Bloomin’ Brands, Inc.</w:t>
      </w:r>
      <w:r>
        <w:rPr>
          <w:rFonts w:ascii="Times New Roman" w:hAnsi="Times New Roman" w:cs="Times New Roman"/>
          <w:sz w:val="24"/>
          <w:szCs w:val="24"/>
        </w:rPr>
        <w:t>, No. 2:15-cv-105, 2016 WL 1028371, at *5 (S.D. Tex. Mar. 15, 2016)</w:t>
      </w:r>
      <w:r w:rsidR="00083153">
        <w:rPr>
          <w:rFonts w:ascii="Times New Roman" w:hAnsi="Times New Roman" w:cs="Times New Roman"/>
          <w:sz w:val="24"/>
          <w:szCs w:val="24"/>
        </w:rPr>
        <w:t xml:space="preserve"> (citing </w:t>
      </w:r>
      <w:r w:rsidR="00083153">
        <w:rPr>
          <w:rFonts w:ascii="Times New Roman" w:hAnsi="Times New Roman" w:cs="Times New Roman"/>
          <w:i/>
          <w:sz w:val="24"/>
          <w:szCs w:val="24"/>
        </w:rPr>
        <w:t>Mann Mfg., Inc. v. Hortex</w:t>
      </w:r>
      <w:r w:rsidR="00083153">
        <w:rPr>
          <w:rFonts w:ascii="Times New Roman" w:hAnsi="Times New Roman" w:cs="Times New Roman"/>
          <w:sz w:val="24"/>
          <w:szCs w:val="24"/>
        </w:rPr>
        <w:t>, 439 F.2d 403, 408 (5th Cir. 1971))</w:t>
      </w:r>
      <w:r w:rsidR="007463C6">
        <w:rPr>
          <w:rFonts w:ascii="Times New Roman" w:hAnsi="Times New Roman" w:cs="Times New Roman"/>
          <w:sz w:val="24"/>
          <w:szCs w:val="24"/>
        </w:rPr>
        <w:t>.</w:t>
      </w:r>
    </w:p>
    <w:p w:rsidR="00E165B2" w:rsidRDefault="00E165B2" w:rsidP="00E165B2">
      <w:pPr>
        <w:pStyle w:val="ListParagraph"/>
        <w:spacing w:after="0" w:line="240" w:lineRule="auto"/>
        <w:ind w:left="2160"/>
        <w:jc w:val="both"/>
        <w:rPr>
          <w:rFonts w:ascii="Times New Roman" w:hAnsi="Times New Roman" w:cs="Times New Roman"/>
          <w:sz w:val="24"/>
          <w:szCs w:val="24"/>
        </w:rPr>
      </w:pPr>
    </w:p>
    <w:p w:rsidR="004F6F6B" w:rsidRPr="00E44D71" w:rsidRDefault="00E44D71" w:rsidP="004F6F6B">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MDL (Multi</w:t>
      </w:r>
      <w:r w:rsidR="004F6F6B" w:rsidRPr="00E44D71">
        <w:rPr>
          <w:rFonts w:ascii="Times New Roman" w:hAnsi="Times New Roman" w:cs="Times New Roman"/>
          <w:b/>
          <w:sz w:val="24"/>
          <w:szCs w:val="24"/>
        </w:rPr>
        <w:t xml:space="preserve">district </w:t>
      </w:r>
      <w:r>
        <w:rPr>
          <w:rFonts w:ascii="Times New Roman" w:hAnsi="Times New Roman" w:cs="Times New Roman"/>
          <w:b/>
          <w:sz w:val="24"/>
          <w:szCs w:val="24"/>
        </w:rPr>
        <w:t>L</w:t>
      </w:r>
      <w:r w:rsidR="004F6F6B" w:rsidRPr="00E44D71">
        <w:rPr>
          <w:rFonts w:ascii="Times New Roman" w:hAnsi="Times New Roman" w:cs="Times New Roman"/>
          <w:b/>
          <w:sz w:val="24"/>
          <w:szCs w:val="24"/>
        </w:rPr>
        <w:t>itigation)</w:t>
      </w:r>
    </w:p>
    <w:p w:rsidR="00E165B2" w:rsidRDefault="00E165B2" w:rsidP="00E165B2">
      <w:pPr>
        <w:pStyle w:val="NormalWeb"/>
        <w:numPr>
          <w:ilvl w:val="1"/>
          <w:numId w:val="2"/>
        </w:numPr>
        <w:shd w:val="clear" w:color="auto" w:fill="FFFFFF"/>
        <w:spacing w:before="0" w:beforeAutospacing="0" w:after="0" w:afterAutospacing="0"/>
        <w:jc w:val="both"/>
        <w:rPr>
          <w:color w:val="222222"/>
        </w:rPr>
      </w:pPr>
      <w:r>
        <w:rPr>
          <w:color w:val="222222"/>
        </w:rPr>
        <w:t xml:space="preserve">Pursuant to 28 U.S.C. § 1407, </w:t>
      </w:r>
      <w:r w:rsidRPr="000D405A">
        <w:rPr>
          <w:color w:val="222222"/>
        </w:rPr>
        <w:t xml:space="preserve">MDL cases occur when </w:t>
      </w:r>
      <w:r>
        <w:rPr>
          <w:color w:val="222222"/>
        </w:rPr>
        <w:t>“</w:t>
      </w:r>
      <w:r w:rsidRPr="000D405A">
        <w:rPr>
          <w:color w:val="222222"/>
        </w:rPr>
        <w:t>civil actions involving one or more common questions of fact are pending in different districts</w:t>
      </w:r>
      <w:r>
        <w:rPr>
          <w:color w:val="222222"/>
        </w:rPr>
        <w:t xml:space="preserve">.” </w:t>
      </w:r>
      <w:r w:rsidRPr="000D405A">
        <w:rPr>
          <w:color w:val="222222"/>
        </w:rPr>
        <w:t>In order to efficiently process cases that could involve hundreds (or thousands) of plaintiffs in dozens of different federal courts that all share common issues, the </w:t>
      </w:r>
      <w:hyperlink r:id="rId8" w:tooltip="Judicial Panel on Multidistrict Litigation" w:history="1">
        <w:r w:rsidRPr="000D405A">
          <w:rPr>
            <w:rStyle w:val="Hyperlink"/>
            <w:color w:val="auto"/>
            <w:u w:val="none"/>
          </w:rPr>
          <w:t>Judicial Panel on Multidistrict Litigation</w:t>
        </w:r>
      </w:hyperlink>
      <w:r w:rsidRPr="000D405A">
        <w:t> </w:t>
      </w:r>
      <w:r w:rsidRPr="000D405A">
        <w:rPr>
          <w:color w:val="222222"/>
        </w:rPr>
        <w:t>(</w:t>
      </w:r>
      <w:r>
        <w:rPr>
          <w:color w:val="222222"/>
        </w:rPr>
        <w:t>“</w:t>
      </w:r>
      <w:r w:rsidRPr="000D405A">
        <w:rPr>
          <w:color w:val="222222"/>
        </w:rPr>
        <w:t>JPML</w:t>
      </w:r>
      <w:r>
        <w:rPr>
          <w:color w:val="222222"/>
        </w:rPr>
        <w:t>”</w:t>
      </w:r>
      <w:r w:rsidRPr="000D405A">
        <w:rPr>
          <w:color w:val="222222"/>
        </w:rPr>
        <w:t xml:space="preserve">) decides whether cases should be consolidated under MDL, </w:t>
      </w:r>
      <w:r>
        <w:rPr>
          <w:color w:val="222222"/>
        </w:rPr>
        <w:t xml:space="preserve">and </w:t>
      </w:r>
      <w:r w:rsidRPr="000D405A">
        <w:rPr>
          <w:color w:val="222222"/>
        </w:rPr>
        <w:t>if so, where the cases should be transferred. Cases subject to MDL are sent from one court, known as the transferor, to another, known as the transferee, f</w:t>
      </w:r>
      <w:r>
        <w:rPr>
          <w:color w:val="222222"/>
        </w:rPr>
        <w:t xml:space="preserve">or all pretrial proceedings and discovery. </w:t>
      </w:r>
      <w:r w:rsidRPr="000D405A">
        <w:rPr>
          <w:color w:val="222222"/>
        </w:rPr>
        <w:t xml:space="preserve"> If a case is not settled or dismissed in the transferee court, it is remanded to the transferor court for trial.</w:t>
      </w:r>
    </w:p>
    <w:p w:rsidR="00E165B2" w:rsidRPr="000D405A" w:rsidRDefault="00E165B2" w:rsidP="00E165B2">
      <w:pPr>
        <w:pStyle w:val="NormalWeb"/>
        <w:shd w:val="clear" w:color="auto" w:fill="FFFFFF"/>
        <w:spacing w:before="0" w:beforeAutospacing="0" w:after="0" w:afterAutospacing="0"/>
        <w:ind w:left="1440"/>
        <w:jc w:val="both"/>
        <w:rPr>
          <w:color w:val="222222"/>
        </w:rPr>
      </w:pPr>
    </w:p>
    <w:p w:rsidR="00E165B2" w:rsidRPr="00E165B2" w:rsidRDefault="00E165B2" w:rsidP="00E165B2">
      <w:pPr>
        <w:pStyle w:val="ListParagraph"/>
        <w:numPr>
          <w:ilvl w:val="1"/>
          <w:numId w:val="2"/>
        </w:numPr>
        <w:spacing w:after="0" w:line="240" w:lineRule="auto"/>
        <w:jc w:val="both"/>
        <w:rPr>
          <w:rFonts w:ascii="Times New Roman" w:hAnsi="Times New Roman" w:cs="Times New Roman"/>
          <w:sz w:val="24"/>
          <w:szCs w:val="24"/>
        </w:rPr>
      </w:pPr>
      <w:r w:rsidRPr="00E165B2">
        <w:rPr>
          <w:rFonts w:ascii="Times New Roman" w:hAnsi="Times New Roman" w:cs="Times New Roman"/>
          <w:color w:val="222222"/>
          <w:sz w:val="24"/>
          <w:szCs w:val="24"/>
          <w:shd w:val="clear" w:color="auto" w:fill="FFFFFF"/>
        </w:rPr>
        <w:t>Most corporate defendants prefer MDL proceedings. Not only can they consolidate all federal cases pending at the time the MDL consolidation request is granted, they can also bring in any subsequent federal cases (and some state cases as well) as so-called "tag-along" cases. Defendants generally find that it is more efficient and less dangerous to have each defense witness cross-examined in a single marathon deposition rather than risk having a witness deposed in dozens of depositions around the country, which raises the risk that the witness may inadvertently give inconsistent testimony.  Plaintiffs often do not favor MDL proceedings because it ultimately means that one group of lawyers will control the litigation and be appointed as “lead counsel.”</w:t>
      </w:r>
    </w:p>
    <w:p w:rsidR="00E165B2" w:rsidRPr="00E165B2" w:rsidRDefault="00E165B2" w:rsidP="00E165B2">
      <w:pPr>
        <w:pStyle w:val="ListParagraph"/>
        <w:rPr>
          <w:rFonts w:ascii="Times New Roman" w:hAnsi="Times New Roman" w:cs="Times New Roman"/>
          <w:sz w:val="24"/>
          <w:szCs w:val="24"/>
        </w:rPr>
      </w:pPr>
    </w:p>
    <w:p w:rsidR="00D05C33" w:rsidRPr="00E44D71" w:rsidRDefault="00E165B2" w:rsidP="00E165B2">
      <w:pPr>
        <w:pStyle w:val="ListParagraph"/>
        <w:numPr>
          <w:ilvl w:val="1"/>
          <w:numId w:val="2"/>
        </w:numPr>
        <w:spacing w:after="0" w:line="240" w:lineRule="auto"/>
        <w:jc w:val="both"/>
        <w:rPr>
          <w:rFonts w:ascii="Times New Roman" w:hAnsi="Times New Roman" w:cs="Times New Roman"/>
          <w:sz w:val="24"/>
          <w:szCs w:val="24"/>
        </w:rPr>
      </w:pPr>
      <w:r w:rsidRPr="00E165B2">
        <w:rPr>
          <w:rFonts w:ascii="Times New Roman" w:hAnsi="Times New Roman" w:cs="Times New Roman"/>
          <w:sz w:val="24"/>
          <w:szCs w:val="24"/>
        </w:rPr>
        <w:t xml:space="preserve">Example: </w:t>
      </w:r>
      <w:r w:rsidR="00E44D71" w:rsidRPr="00E44D71">
        <w:rPr>
          <w:rFonts w:ascii="Times New Roman" w:hAnsi="Times New Roman"/>
          <w:i/>
          <w:sz w:val="24"/>
          <w:szCs w:val="24"/>
        </w:rPr>
        <w:t xml:space="preserve">In re </w:t>
      </w:r>
      <w:r w:rsidRPr="00E44D71">
        <w:rPr>
          <w:rFonts w:ascii="Times New Roman" w:hAnsi="Times New Roman"/>
          <w:i/>
          <w:sz w:val="24"/>
          <w:szCs w:val="24"/>
        </w:rPr>
        <w:t>Wells Fargo Wage &amp; Hour Employment Practices Litigation (No. III)</w:t>
      </w:r>
      <w:r w:rsidRPr="00E165B2">
        <w:rPr>
          <w:rFonts w:ascii="Times New Roman" w:hAnsi="Times New Roman"/>
          <w:sz w:val="24"/>
          <w:szCs w:val="24"/>
        </w:rPr>
        <w:t>,</w:t>
      </w:r>
      <w:r>
        <w:rPr>
          <w:rFonts w:ascii="Times New Roman" w:hAnsi="Times New Roman" w:cs="Times New Roman"/>
          <w:sz w:val="24"/>
          <w:szCs w:val="24"/>
        </w:rPr>
        <w:t xml:space="preserve"> </w:t>
      </w:r>
      <w:r w:rsidRPr="00E165B2">
        <w:rPr>
          <w:rFonts w:ascii="Times New Roman" w:hAnsi="Times New Roman"/>
          <w:sz w:val="24"/>
          <w:szCs w:val="24"/>
        </w:rPr>
        <w:t>MDL Case No. H-11-2266</w:t>
      </w:r>
      <w:r w:rsidR="00E44D71">
        <w:rPr>
          <w:rFonts w:ascii="Times New Roman" w:hAnsi="Times New Roman"/>
          <w:sz w:val="24"/>
          <w:szCs w:val="24"/>
        </w:rPr>
        <w:t xml:space="preserve"> (S.D. Tex.) (Miller, J.). (FLSA case consolidating 4 FLSA cases brought in Texas, Washington and New Jersey).</w:t>
      </w:r>
    </w:p>
    <w:p w:rsidR="00E44D71" w:rsidRPr="00E44D71" w:rsidRDefault="00E44D71" w:rsidP="00E44D71">
      <w:pPr>
        <w:pStyle w:val="ListParagraph"/>
        <w:rPr>
          <w:rFonts w:ascii="Times New Roman" w:hAnsi="Times New Roman" w:cs="Times New Roman"/>
          <w:sz w:val="24"/>
          <w:szCs w:val="24"/>
        </w:rPr>
      </w:pPr>
    </w:p>
    <w:p w:rsidR="00E44D71" w:rsidRDefault="00E44D71">
      <w:pPr>
        <w:rPr>
          <w:rFonts w:ascii="Times New Roman" w:hAnsi="Times New Roman" w:cs="Times New Roman"/>
          <w:sz w:val="24"/>
          <w:szCs w:val="24"/>
        </w:rPr>
      </w:pPr>
      <w:r>
        <w:rPr>
          <w:rFonts w:ascii="Times New Roman" w:hAnsi="Times New Roman" w:cs="Times New Roman"/>
          <w:sz w:val="24"/>
          <w:szCs w:val="24"/>
        </w:rPr>
        <w:br w:type="page"/>
      </w:r>
    </w:p>
    <w:p w:rsidR="00E44D71" w:rsidRPr="00E165B2" w:rsidRDefault="00E44D71" w:rsidP="00E44D71">
      <w:pPr>
        <w:pStyle w:val="ListParagraph"/>
        <w:spacing w:after="0" w:line="240" w:lineRule="auto"/>
        <w:ind w:left="2160"/>
        <w:jc w:val="both"/>
        <w:rPr>
          <w:rFonts w:ascii="Times New Roman" w:hAnsi="Times New Roman" w:cs="Times New Roman"/>
          <w:sz w:val="24"/>
          <w:szCs w:val="24"/>
        </w:rPr>
      </w:pPr>
    </w:p>
    <w:p w:rsidR="003B6CB7" w:rsidRPr="00E44D71" w:rsidRDefault="003B6CB7" w:rsidP="004F6F6B">
      <w:pPr>
        <w:pStyle w:val="ListParagraph"/>
        <w:numPr>
          <w:ilvl w:val="0"/>
          <w:numId w:val="2"/>
        </w:numPr>
        <w:spacing w:after="0" w:line="240" w:lineRule="auto"/>
        <w:jc w:val="both"/>
        <w:rPr>
          <w:rFonts w:ascii="Times New Roman" w:hAnsi="Times New Roman" w:cs="Times New Roman"/>
          <w:b/>
          <w:sz w:val="24"/>
          <w:szCs w:val="24"/>
        </w:rPr>
      </w:pPr>
      <w:r w:rsidRPr="00E44D71">
        <w:rPr>
          <w:rFonts w:ascii="Times New Roman" w:hAnsi="Times New Roman" w:cs="Times New Roman"/>
          <w:b/>
          <w:sz w:val="24"/>
          <w:szCs w:val="24"/>
        </w:rPr>
        <w:t>Stay one action</w:t>
      </w:r>
    </w:p>
    <w:p w:rsidR="00271D0B" w:rsidRDefault="00271D0B" w:rsidP="00271D0B">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court may stay one action where, for example, a motion to dismiss is pending in a substantially similar case before another court, and issues in the case may ultimately result in the case being heard before the court staying the action—</w:t>
      </w:r>
      <w:r>
        <w:rPr>
          <w:rFonts w:ascii="Times New Roman" w:hAnsi="Times New Roman" w:cs="Times New Roman"/>
          <w:i/>
          <w:sz w:val="24"/>
          <w:szCs w:val="24"/>
        </w:rPr>
        <w:t>see DXP Enterprises, Inc. v. Tim Hill</w:t>
      </w:r>
      <w:r>
        <w:rPr>
          <w:rFonts w:ascii="Times New Roman" w:hAnsi="Times New Roman" w:cs="Times New Roman"/>
          <w:sz w:val="24"/>
          <w:szCs w:val="24"/>
        </w:rPr>
        <w:t>, No. 4:15-cv-3471, 2016 WL 4159756 (S.D. Tex. Aug. 3, 2016)</w:t>
      </w:r>
      <w:r w:rsidR="00E44D71">
        <w:rPr>
          <w:rFonts w:ascii="Times New Roman" w:hAnsi="Times New Roman" w:cs="Times New Roman"/>
          <w:sz w:val="24"/>
          <w:szCs w:val="24"/>
        </w:rPr>
        <w:t>.</w:t>
      </w:r>
    </w:p>
    <w:p w:rsidR="00E44D71" w:rsidRDefault="00E44D71" w:rsidP="00E44D71">
      <w:pPr>
        <w:pStyle w:val="ListParagraph"/>
        <w:spacing w:after="0" w:line="240" w:lineRule="auto"/>
        <w:ind w:left="2160"/>
        <w:jc w:val="both"/>
        <w:rPr>
          <w:rFonts w:ascii="Times New Roman" w:hAnsi="Times New Roman" w:cs="Times New Roman"/>
          <w:sz w:val="24"/>
          <w:szCs w:val="24"/>
        </w:rPr>
      </w:pPr>
    </w:p>
    <w:p w:rsidR="003B6CB7" w:rsidRPr="00E44D71" w:rsidRDefault="003B6CB7" w:rsidP="004F6F6B">
      <w:pPr>
        <w:pStyle w:val="ListParagraph"/>
        <w:numPr>
          <w:ilvl w:val="0"/>
          <w:numId w:val="2"/>
        </w:numPr>
        <w:spacing w:after="0" w:line="240" w:lineRule="auto"/>
        <w:jc w:val="both"/>
        <w:rPr>
          <w:rFonts w:ascii="Times New Roman" w:hAnsi="Times New Roman" w:cs="Times New Roman"/>
          <w:b/>
          <w:sz w:val="24"/>
          <w:szCs w:val="24"/>
        </w:rPr>
      </w:pPr>
      <w:r w:rsidRPr="00E44D71">
        <w:rPr>
          <w:rFonts w:ascii="Times New Roman" w:hAnsi="Times New Roman" w:cs="Times New Roman"/>
          <w:b/>
          <w:sz w:val="24"/>
          <w:szCs w:val="24"/>
        </w:rPr>
        <w:t>Sever claims</w:t>
      </w:r>
    </w:p>
    <w:p w:rsidR="00D77E47" w:rsidRDefault="00505B12" w:rsidP="00D77E47">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Courts may also sever the competing claims and transfer those claims to another court</w:t>
      </w:r>
      <w:r w:rsidR="00E44D71">
        <w:rPr>
          <w:rFonts w:ascii="Times New Roman" w:hAnsi="Times New Roman" w:cs="Times New Roman"/>
          <w:sz w:val="24"/>
          <w:szCs w:val="24"/>
        </w:rPr>
        <w:t>.</w:t>
      </w:r>
    </w:p>
    <w:p w:rsidR="00E44D71" w:rsidRDefault="00E44D71" w:rsidP="00E44D71">
      <w:pPr>
        <w:pStyle w:val="ListParagraph"/>
        <w:spacing w:after="0" w:line="240" w:lineRule="auto"/>
        <w:ind w:left="2160"/>
        <w:jc w:val="both"/>
        <w:rPr>
          <w:rFonts w:ascii="Times New Roman" w:hAnsi="Times New Roman" w:cs="Times New Roman"/>
          <w:sz w:val="24"/>
          <w:szCs w:val="24"/>
        </w:rPr>
      </w:pPr>
    </w:p>
    <w:p w:rsidR="00505B12" w:rsidRDefault="00505B12" w:rsidP="00D77E47">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w:t>
      </w:r>
    </w:p>
    <w:p w:rsidR="00505B12" w:rsidRDefault="00505B12" w:rsidP="00505B12">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Benavides v. Home Depot USA, Inc.</w:t>
      </w:r>
      <w:r>
        <w:rPr>
          <w:rFonts w:ascii="Times New Roman" w:hAnsi="Times New Roman" w:cs="Times New Roman"/>
          <w:sz w:val="24"/>
          <w:szCs w:val="24"/>
        </w:rPr>
        <w:t>, No. H-06-0029, 2006 U.S. Dist. LEXIS 31661 (S.D. Tex. May 19, 2006)</w:t>
      </w:r>
      <w:r w:rsidR="00E44D71">
        <w:rPr>
          <w:rFonts w:ascii="Times New Roman" w:hAnsi="Times New Roman" w:cs="Times New Roman"/>
          <w:sz w:val="24"/>
          <w:szCs w:val="24"/>
        </w:rPr>
        <w:t>.</w:t>
      </w:r>
    </w:p>
    <w:p w:rsidR="00505B12" w:rsidRDefault="003A243F" w:rsidP="00505B12">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October 2004—two FLSA lawsuits involving Home Depot assistant managers were consolidated in the District of New Jersey</w:t>
      </w:r>
      <w:r w:rsidR="00164C1D">
        <w:rPr>
          <w:rFonts w:ascii="Times New Roman" w:hAnsi="Times New Roman" w:cs="Times New Roman"/>
          <w:sz w:val="24"/>
          <w:szCs w:val="24"/>
        </w:rPr>
        <w:t xml:space="preserve"> (nationwide notice approved in October 2005)</w:t>
      </w:r>
      <w:r w:rsidR="00E44D71">
        <w:rPr>
          <w:rFonts w:ascii="Times New Roman" w:hAnsi="Times New Roman" w:cs="Times New Roman"/>
          <w:sz w:val="24"/>
          <w:szCs w:val="24"/>
        </w:rPr>
        <w:t>.</w:t>
      </w:r>
    </w:p>
    <w:p w:rsidR="003A243F" w:rsidRDefault="003A243F" w:rsidP="00505B12">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January 2006—plaintiffs filed individual and collective action FLSA claims against Home Depot, alleging misclassification claims</w:t>
      </w:r>
      <w:r w:rsidR="00F16E72">
        <w:rPr>
          <w:rFonts w:ascii="Times New Roman" w:hAnsi="Times New Roman" w:cs="Times New Roman"/>
          <w:sz w:val="24"/>
          <w:szCs w:val="24"/>
        </w:rPr>
        <w:t>, and one plaintiff (Taibi) worked as an assistant manager</w:t>
      </w:r>
      <w:r w:rsidR="00E44D71">
        <w:rPr>
          <w:rFonts w:ascii="Times New Roman" w:hAnsi="Times New Roman" w:cs="Times New Roman"/>
          <w:sz w:val="24"/>
          <w:szCs w:val="24"/>
        </w:rPr>
        <w:t>.</w:t>
      </w:r>
    </w:p>
    <w:p w:rsidR="00164C1D" w:rsidRDefault="00866D93" w:rsidP="00505B12">
      <w:pPr>
        <w:pStyle w:val="ListParagraph"/>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court severed plaintiff Taibi’s FLSA collective action claims and transferred them to New Jersey, noting the issues were identical—in both cases, the “primary issue” is whether Home Depot improperly classified its assistant managers as exempt</w:t>
      </w:r>
      <w:r w:rsidR="00E44D71">
        <w:rPr>
          <w:rFonts w:ascii="Times New Roman" w:hAnsi="Times New Roman" w:cs="Times New Roman"/>
          <w:sz w:val="24"/>
          <w:szCs w:val="24"/>
        </w:rPr>
        <w:t>.</w:t>
      </w:r>
    </w:p>
    <w:p w:rsidR="00AF04C8" w:rsidRPr="00AF04C8" w:rsidRDefault="00AF04C8" w:rsidP="00505B12">
      <w:pPr>
        <w:pStyle w:val="ListParagraph"/>
        <w:numPr>
          <w:ilvl w:val="3"/>
          <w:numId w:val="2"/>
        </w:numPr>
        <w:spacing w:after="0" w:line="240" w:lineRule="auto"/>
        <w:jc w:val="both"/>
        <w:rPr>
          <w:rFonts w:ascii="Times New Roman" w:hAnsi="Times New Roman" w:cs="Times New Roman"/>
          <w:sz w:val="24"/>
          <w:szCs w:val="24"/>
        </w:rPr>
      </w:pPr>
      <w:r w:rsidRPr="00AF04C8">
        <w:rPr>
          <w:rFonts w:ascii="Times New Roman" w:hAnsi="Times New Roman" w:cs="Times New Roman"/>
          <w:sz w:val="24"/>
          <w:szCs w:val="24"/>
          <w:shd w:val="clear" w:color="auto" w:fill="FFFFFF"/>
        </w:rPr>
        <w:t>“The principles underlying the first-to-file rule favor severing Taibi's MASM collective action claims and transferring them to New Jersey. The MASM collective action claims in the two districts are identical. The likelihood of conflicting rulings in separate collective actions can be avoided through severance and transfer. Because the focus of the collective actions is nationwide, this district and the District of New Jersey have an equal interest in the dispute, but the New Jersey court has the advantage that its case has progressed significantly farther than this case.”</w:t>
      </w:r>
    </w:p>
    <w:p w:rsidR="004F6F6B" w:rsidRPr="00AF04C8" w:rsidRDefault="004F6F6B" w:rsidP="004F6F6B">
      <w:pPr>
        <w:spacing w:after="0" w:line="240" w:lineRule="auto"/>
        <w:jc w:val="both"/>
        <w:rPr>
          <w:rFonts w:ascii="Times New Roman" w:hAnsi="Times New Roman" w:cs="Times New Roman"/>
          <w:sz w:val="24"/>
          <w:szCs w:val="24"/>
        </w:rPr>
      </w:pPr>
    </w:p>
    <w:p w:rsidR="004F6F6B" w:rsidRDefault="004F6F6B" w:rsidP="004F6F6B">
      <w:pPr>
        <w:spacing w:after="0" w:line="240" w:lineRule="auto"/>
        <w:jc w:val="both"/>
        <w:rPr>
          <w:rFonts w:ascii="Times New Roman" w:hAnsi="Times New Roman" w:cs="Times New Roman"/>
          <w:sz w:val="24"/>
          <w:szCs w:val="24"/>
        </w:rPr>
      </w:pPr>
    </w:p>
    <w:p w:rsidR="004F6F6B" w:rsidRPr="004F6F6B" w:rsidRDefault="004F6F6B" w:rsidP="004F6F6B">
      <w:pPr>
        <w:spacing w:after="0" w:line="240" w:lineRule="auto"/>
        <w:jc w:val="both"/>
        <w:rPr>
          <w:rFonts w:ascii="Times New Roman" w:hAnsi="Times New Roman" w:cs="Times New Roman"/>
          <w:sz w:val="24"/>
          <w:szCs w:val="24"/>
        </w:rPr>
      </w:pPr>
    </w:p>
    <w:sectPr w:rsidR="004F6F6B" w:rsidRPr="004F6F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E3" w:rsidRDefault="002323E3" w:rsidP="00F64AC2">
      <w:pPr>
        <w:spacing w:after="0" w:line="240" w:lineRule="auto"/>
      </w:pPr>
      <w:r>
        <w:separator/>
      </w:r>
    </w:p>
  </w:endnote>
  <w:endnote w:type="continuationSeparator" w:id="0">
    <w:p w:rsidR="002323E3" w:rsidRDefault="002323E3" w:rsidP="00F6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33" w:rsidRDefault="00D05C33" w:rsidP="00D05C33">
    <w:pPr>
      <w:pStyle w:val="Footer"/>
      <w:rPr>
        <w:rFonts w:ascii="Times New Roman" w:hAnsi="Times New Roman" w:cs="Times New Roman"/>
      </w:rPr>
    </w:pPr>
    <w:r>
      <w:rPr>
        <w:rFonts w:ascii="Times New Roman" w:hAnsi="Times New Roman" w:cs="Times New Roman"/>
      </w:rPr>
      <w:t>__________________________</w:t>
    </w:r>
  </w:p>
  <w:p w:rsidR="00D05C33" w:rsidRPr="00D05C33" w:rsidRDefault="00D05C33" w:rsidP="007463C6">
    <w:pPr>
      <w:pStyle w:val="Footer"/>
      <w:jc w:val="right"/>
      <w:rPr>
        <w:rFonts w:ascii="Times New Roman" w:hAnsi="Times New Roman" w:cs="Times New Roman"/>
      </w:rPr>
    </w:pPr>
    <w:r w:rsidRPr="00D05C33">
      <w:rPr>
        <w:rFonts w:ascii="Times New Roman" w:hAnsi="Times New Roman" w:cs="Times New Roman"/>
      </w:rPr>
      <w:t>Rhonda H. Wills</w:t>
    </w:r>
    <w:r w:rsidR="007463C6">
      <w:rPr>
        <w:rFonts w:ascii="Times New Roman" w:hAnsi="Times New Roman" w:cs="Times New Roman"/>
      </w:rPr>
      <w:tab/>
    </w:r>
    <w:r w:rsidR="007463C6">
      <w:rPr>
        <w:rFonts w:ascii="Times New Roman" w:hAnsi="Times New Roman" w:cs="Times New Roman"/>
      </w:rPr>
      <w:tab/>
    </w:r>
    <w:r w:rsidR="007463C6" w:rsidRPr="007463C6">
      <w:rPr>
        <w:rFonts w:ascii="Times New Roman" w:hAnsi="Times New Roman" w:cs="Times New Roman"/>
      </w:rPr>
      <w:t xml:space="preserve">Page </w:t>
    </w:r>
    <w:r w:rsidR="007463C6" w:rsidRPr="007463C6">
      <w:rPr>
        <w:rFonts w:ascii="Times New Roman" w:hAnsi="Times New Roman" w:cs="Times New Roman"/>
      </w:rPr>
      <w:fldChar w:fldCharType="begin"/>
    </w:r>
    <w:r w:rsidR="007463C6" w:rsidRPr="007463C6">
      <w:rPr>
        <w:rFonts w:ascii="Times New Roman" w:hAnsi="Times New Roman" w:cs="Times New Roman"/>
      </w:rPr>
      <w:instrText xml:space="preserve"> PAGE   \* MERGEFORMAT </w:instrText>
    </w:r>
    <w:r w:rsidR="007463C6" w:rsidRPr="007463C6">
      <w:rPr>
        <w:rFonts w:ascii="Times New Roman" w:hAnsi="Times New Roman" w:cs="Times New Roman"/>
      </w:rPr>
      <w:fldChar w:fldCharType="separate"/>
    </w:r>
    <w:r w:rsidR="00B5464C">
      <w:rPr>
        <w:rFonts w:ascii="Times New Roman" w:hAnsi="Times New Roman" w:cs="Times New Roman"/>
        <w:noProof/>
      </w:rPr>
      <w:t>1</w:t>
    </w:r>
    <w:r w:rsidR="007463C6" w:rsidRPr="007463C6">
      <w:rPr>
        <w:rFonts w:ascii="Times New Roman" w:hAnsi="Times New Roman" w:cs="Times New Roman"/>
        <w:noProof/>
      </w:rPr>
      <w:fldChar w:fldCharType="end"/>
    </w:r>
  </w:p>
  <w:p w:rsidR="00D05C33" w:rsidRPr="00D05C33" w:rsidRDefault="00D05C33" w:rsidP="00D05C33">
    <w:pPr>
      <w:pStyle w:val="Footer"/>
      <w:rPr>
        <w:rFonts w:ascii="Times New Roman" w:hAnsi="Times New Roman" w:cs="Times New Roman"/>
        <w:smallCaps/>
      </w:rPr>
    </w:pPr>
    <w:r w:rsidRPr="00D05C33">
      <w:rPr>
        <w:rFonts w:ascii="Times New Roman" w:hAnsi="Times New Roman" w:cs="Times New Roman"/>
        <w:smallCaps/>
      </w:rPr>
      <w:t>Wills Law Firm, PLLC</w:t>
    </w:r>
  </w:p>
  <w:p w:rsidR="00D05C33" w:rsidRPr="00D05C33" w:rsidRDefault="00D05C33" w:rsidP="00D05C33">
    <w:pPr>
      <w:pStyle w:val="Footer"/>
      <w:rPr>
        <w:rFonts w:ascii="Times New Roman" w:hAnsi="Times New Roman" w:cs="Times New Roman"/>
      </w:rPr>
    </w:pPr>
    <w:r w:rsidRPr="00D05C33">
      <w:rPr>
        <w:rFonts w:ascii="Times New Roman" w:hAnsi="Times New Roman" w:cs="Times New Roman"/>
      </w:rPr>
      <w:t>(713) 528-4455</w:t>
    </w:r>
  </w:p>
  <w:p w:rsidR="00D05C33" w:rsidRPr="00D05C33" w:rsidRDefault="00D05C33" w:rsidP="00D05C33">
    <w:pPr>
      <w:pStyle w:val="Footer"/>
      <w:rPr>
        <w:rFonts w:ascii="Times New Roman" w:hAnsi="Times New Roman" w:cs="Times New Roman"/>
      </w:rPr>
    </w:pPr>
    <w:r w:rsidRPr="00D05C33">
      <w:rPr>
        <w:rFonts w:ascii="Times New Roman" w:hAnsi="Times New Roman" w:cs="Times New Roman"/>
      </w:rPr>
      <w:t>rwills@rwillslawfirm.com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E3" w:rsidRDefault="002323E3" w:rsidP="00F64AC2">
      <w:pPr>
        <w:spacing w:after="0" w:line="240" w:lineRule="auto"/>
      </w:pPr>
      <w:r>
        <w:separator/>
      </w:r>
    </w:p>
  </w:footnote>
  <w:footnote w:type="continuationSeparator" w:id="0">
    <w:p w:rsidR="002323E3" w:rsidRDefault="002323E3" w:rsidP="00F64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F23"/>
    <w:multiLevelType w:val="hybridMultilevel"/>
    <w:tmpl w:val="5FAA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60F25"/>
    <w:multiLevelType w:val="hybridMultilevel"/>
    <w:tmpl w:val="14A2D274"/>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757F48"/>
    <w:multiLevelType w:val="hybridMultilevel"/>
    <w:tmpl w:val="9E2C8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6B"/>
    <w:rsid w:val="00007BC0"/>
    <w:rsid w:val="000204B5"/>
    <w:rsid w:val="00035D6C"/>
    <w:rsid w:val="00083153"/>
    <w:rsid w:val="000E6835"/>
    <w:rsid w:val="00114C59"/>
    <w:rsid w:val="00127EE3"/>
    <w:rsid w:val="001321FA"/>
    <w:rsid w:val="001615DF"/>
    <w:rsid w:val="00164C1D"/>
    <w:rsid w:val="00165DC6"/>
    <w:rsid w:val="0021478F"/>
    <w:rsid w:val="00216351"/>
    <w:rsid w:val="00217BDA"/>
    <w:rsid w:val="00220790"/>
    <w:rsid w:val="002323E3"/>
    <w:rsid w:val="00232B00"/>
    <w:rsid w:val="00271D0B"/>
    <w:rsid w:val="00292C3A"/>
    <w:rsid w:val="002A068E"/>
    <w:rsid w:val="002E0DEA"/>
    <w:rsid w:val="00340138"/>
    <w:rsid w:val="003508A2"/>
    <w:rsid w:val="003A243F"/>
    <w:rsid w:val="003B62DC"/>
    <w:rsid w:val="003B6CB7"/>
    <w:rsid w:val="004047AD"/>
    <w:rsid w:val="00474B89"/>
    <w:rsid w:val="004875C3"/>
    <w:rsid w:val="004A307E"/>
    <w:rsid w:val="004C732B"/>
    <w:rsid w:val="004E2073"/>
    <w:rsid w:val="004F6F6B"/>
    <w:rsid w:val="00505B12"/>
    <w:rsid w:val="00510513"/>
    <w:rsid w:val="00572536"/>
    <w:rsid w:val="00577CD8"/>
    <w:rsid w:val="005A3364"/>
    <w:rsid w:val="005F07A7"/>
    <w:rsid w:val="00643E5E"/>
    <w:rsid w:val="00650653"/>
    <w:rsid w:val="006E7794"/>
    <w:rsid w:val="006F0D2A"/>
    <w:rsid w:val="00700B4E"/>
    <w:rsid w:val="007171E9"/>
    <w:rsid w:val="0072021A"/>
    <w:rsid w:val="007316E5"/>
    <w:rsid w:val="007463C6"/>
    <w:rsid w:val="00754126"/>
    <w:rsid w:val="0086043F"/>
    <w:rsid w:val="008646CC"/>
    <w:rsid w:val="00866D93"/>
    <w:rsid w:val="008865CD"/>
    <w:rsid w:val="0089096A"/>
    <w:rsid w:val="008B5449"/>
    <w:rsid w:val="008C04F5"/>
    <w:rsid w:val="008C274A"/>
    <w:rsid w:val="008E2523"/>
    <w:rsid w:val="009A4C74"/>
    <w:rsid w:val="009D4F9B"/>
    <w:rsid w:val="009F4320"/>
    <w:rsid w:val="009F782A"/>
    <w:rsid w:val="00A06056"/>
    <w:rsid w:val="00A311E3"/>
    <w:rsid w:val="00A50F28"/>
    <w:rsid w:val="00A75DBC"/>
    <w:rsid w:val="00A76D50"/>
    <w:rsid w:val="00A92E26"/>
    <w:rsid w:val="00A94FF7"/>
    <w:rsid w:val="00AF04C8"/>
    <w:rsid w:val="00B02280"/>
    <w:rsid w:val="00B519AC"/>
    <w:rsid w:val="00B52E99"/>
    <w:rsid w:val="00B5464C"/>
    <w:rsid w:val="00B6525D"/>
    <w:rsid w:val="00B76412"/>
    <w:rsid w:val="00BB377D"/>
    <w:rsid w:val="00C347ED"/>
    <w:rsid w:val="00CA533E"/>
    <w:rsid w:val="00CE6BD2"/>
    <w:rsid w:val="00D05C33"/>
    <w:rsid w:val="00D22DE1"/>
    <w:rsid w:val="00D77E47"/>
    <w:rsid w:val="00DD79A2"/>
    <w:rsid w:val="00DE0746"/>
    <w:rsid w:val="00DE2CCB"/>
    <w:rsid w:val="00E165B2"/>
    <w:rsid w:val="00E44639"/>
    <w:rsid w:val="00E44D71"/>
    <w:rsid w:val="00E66021"/>
    <w:rsid w:val="00E951B9"/>
    <w:rsid w:val="00E96BA7"/>
    <w:rsid w:val="00EE1797"/>
    <w:rsid w:val="00F16E72"/>
    <w:rsid w:val="00F20481"/>
    <w:rsid w:val="00F647E9"/>
    <w:rsid w:val="00F64AC2"/>
    <w:rsid w:val="00F81827"/>
    <w:rsid w:val="00FC3FF6"/>
    <w:rsid w:val="00FD2770"/>
    <w:rsid w:val="00FE08CA"/>
    <w:rsid w:val="00FF103F"/>
    <w:rsid w:val="00FF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6B"/>
    <w:pPr>
      <w:ind w:left="720"/>
      <w:contextualSpacing/>
    </w:pPr>
  </w:style>
  <w:style w:type="paragraph" w:styleId="Header">
    <w:name w:val="header"/>
    <w:basedOn w:val="Normal"/>
    <w:link w:val="HeaderChar"/>
    <w:uiPriority w:val="99"/>
    <w:unhideWhenUsed/>
    <w:rsid w:val="00F6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C2"/>
  </w:style>
  <w:style w:type="paragraph" w:styleId="Footer">
    <w:name w:val="footer"/>
    <w:basedOn w:val="Normal"/>
    <w:link w:val="FooterChar"/>
    <w:uiPriority w:val="99"/>
    <w:unhideWhenUsed/>
    <w:rsid w:val="00F6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C2"/>
  </w:style>
  <w:style w:type="paragraph" w:styleId="BalloonText">
    <w:name w:val="Balloon Text"/>
    <w:basedOn w:val="Normal"/>
    <w:link w:val="BalloonTextChar"/>
    <w:uiPriority w:val="99"/>
    <w:semiHidden/>
    <w:unhideWhenUsed/>
    <w:rsid w:val="004E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73"/>
    <w:rPr>
      <w:rFonts w:ascii="Segoe UI" w:hAnsi="Segoe UI" w:cs="Segoe UI"/>
      <w:sz w:val="18"/>
      <w:szCs w:val="18"/>
    </w:rPr>
  </w:style>
  <w:style w:type="paragraph" w:styleId="NormalWeb">
    <w:name w:val="Normal (Web)"/>
    <w:basedOn w:val="Normal"/>
    <w:uiPriority w:val="99"/>
    <w:semiHidden/>
    <w:unhideWhenUsed/>
    <w:rsid w:val="00E16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5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6B"/>
    <w:pPr>
      <w:ind w:left="720"/>
      <w:contextualSpacing/>
    </w:pPr>
  </w:style>
  <w:style w:type="paragraph" w:styleId="Header">
    <w:name w:val="header"/>
    <w:basedOn w:val="Normal"/>
    <w:link w:val="HeaderChar"/>
    <w:uiPriority w:val="99"/>
    <w:unhideWhenUsed/>
    <w:rsid w:val="00F64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C2"/>
  </w:style>
  <w:style w:type="paragraph" w:styleId="Footer">
    <w:name w:val="footer"/>
    <w:basedOn w:val="Normal"/>
    <w:link w:val="FooterChar"/>
    <w:uiPriority w:val="99"/>
    <w:unhideWhenUsed/>
    <w:rsid w:val="00F64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AC2"/>
  </w:style>
  <w:style w:type="paragraph" w:styleId="BalloonText">
    <w:name w:val="Balloon Text"/>
    <w:basedOn w:val="Normal"/>
    <w:link w:val="BalloonTextChar"/>
    <w:uiPriority w:val="99"/>
    <w:semiHidden/>
    <w:unhideWhenUsed/>
    <w:rsid w:val="004E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73"/>
    <w:rPr>
      <w:rFonts w:ascii="Segoe UI" w:hAnsi="Segoe UI" w:cs="Segoe UI"/>
      <w:sz w:val="18"/>
      <w:szCs w:val="18"/>
    </w:rPr>
  </w:style>
  <w:style w:type="paragraph" w:styleId="NormalWeb">
    <w:name w:val="Normal (Web)"/>
    <w:basedOn w:val="Normal"/>
    <w:uiPriority w:val="99"/>
    <w:semiHidden/>
    <w:unhideWhenUsed/>
    <w:rsid w:val="00E165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6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udicial_Panel_on_Multidistrict_Litig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Wills</dc:creator>
  <cp:lastModifiedBy>nathanochsner</cp:lastModifiedBy>
  <cp:revision>2</cp:revision>
  <cp:lastPrinted>2017-10-25T20:33:00Z</cp:lastPrinted>
  <dcterms:created xsi:type="dcterms:W3CDTF">2017-10-31T19:07:00Z</dcterms:created>
  <dcterms:modified xsi:type="dcterms:W3CDTF">2017-10-31T19:07:00Z</dcterms:modified>
</cp:coreProperties>
</file>