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15D" w:rsidRDefault="007D68EC" w:rsidP="007D68EC">
      <w:pPr>
        <w:jc w:val="center"/>
      </w:pPr>
      <w:r>
        <w:t>CONFIRMING A CHAPTER 11 PLAN</w:t>
      </w:r>
    </w:p>
    <w:p w:rsidR="007D68EC" w:rsidRDefault="007D68EC" w:rsidP="007D68EC">
      <w:pPr>
        <w:pStyle w:val="Heading1"/>
      </w:pPr>
      <w:r>
        <w:lastRenderedPageBreak/>
        <w:t>Pre-Petition Evaluation of the Case and Client</w:t>
      </w:r>
    </w:p>
    <w:p w:rsidR="007D68EC" w:rsidRDefault="007D68EC" w:rsidP="007D68EC">
      <w:pPr>
        <w:pStyle w:val="Heading2"/>
      </w:pPr>
      <w:r>
        <w:t>Impact of Pro-Snax</w:t>
      </w:r>
    </w:p>
    <w:p w:rsidR="007D68EC" w:rsidRDefault="007D68EC" w:rsidP="007D68EC">
      <w:pPr>
        <w:pStyle w:val="Heading2"/>
      </w:pPr>
      <w:r>
        <w:t>Is there a business to save?</w:t>
      </w:r>
    </w:p>
    <w:p w:rsidR="007D68EC" w:rsidRDefault="007D68EC" w:rsidP="007D68EC">
      <w:pPr>
        <w:pStyle w:val="Heading2"/>
      </w:pPr>
      <w:r>
        <w:t>Is the client sincere about saving the business?</w:t>
      </w:r>
    </w:p>
    <w:p w:rsidR="00C367F1" w:rsidRDefault="00C367F1" w:rsidP="007D68EC">
      <w:pPr>
        <w:pStyle w:val="Heading2"/>
      </w:pPr>
      <w:r>
        <w:t xml:space="preserve">Is management capable of </w:t>
      </w:r>
      <w:r w:rsidR="008A4E91">
        <w:t>running/</w:t>
      </w:r>
      <w:r>
        <w:t>saving the business?</w:t>
      </w:r>
      <w:bookmarkStart w:id="0" w:name="_GoBack"/>
      <w:bookmarkEnd w:id="0"/>
    </w:p>
    <w:p w:rsidR="00C367F1" w:rsidRDefault="00C367F1" w:rsidP="007D68EC">
      <w:pPr>
        <w:pStyle w:val="Heading2"/>
      </w:pPr>
      <w:r>
        <w:t>Is a §363 Sale the best alternative?</w:t>
      </w:r>
    </w:p>
    <w:p w:rsidR="007D68EC" w:rsidRDefault="007D68EC" w:rsidP="007D68EC">
      <w:pPr>
        <w:pStyle w:val="Heading2"/>
      </w:pPr>
      <w:r>
        <w:t>The magic question – If you had no debt, can you run cash flow positive?</w:t>
      </w:r>
    </w:p>
    <w:p w:rsidR="007D68EC" w:rsidRDefault="007D68EC" w:rsidP="007D68EC">
      <w:pPr>
        <w:pStyle w:val="Heading2"/>
      </w:pPr>
      <w:r>
        <w:t>Turnaround Consultant?</w:t>
      </w:r>
    </w:p>
    <w:p w:rsidR="007D68EC" w:rsidRDefault="0028415D" w:rsidP="007D68EC">
      <w:pPr>
        <w:pStyle w:val="Heading2"/>
      </w:pPr>
      <w:r>
        <w:t>Ne</w:t>
      </w:r>
      <w:r w:rsidR="007D68EC">
        <w:t>ed a DIP Loan?</w:t>
      </w:r>
      <w:r w:rsidR="00C367F1">
        <w:t xml:space="preserve"> </w:t>
      </w:r>
    </w:p>
    <w:p w:rsidR="006B0A3A" w:rsidRDefault="00C367F1" w:rsidP="006B0A3A">
      <w:pPr>
        <w:pStyle w:val="Heading3"/>
      </w:pPr>
      <w:r>
        <w:t>Loans to Own?</w:t>
      </w:r>
    </w:p>
    <w:p w:rsidR="006B0A3A" w:rsidRDefault="00C367F1" w:rsidP="006B0A3A">
      <w:pPr>
        <w:pStyle w:val="Heading3"/>
      </w:pPr>
      <w:r>
        <w:t>DIP to Own?</w:t>
      </w:r>
    </w:p>
    <w:p w:rsidR="0028415D" w:rsidRDefault="0028415D" w:rsidP="0028415D">
      <w:pPr>
        <w:pStyle w:val="Heading1"/>
      </w:pPr>
      <w:r>
        <w:t>Key Confirmation Elements</w:t>
      </w:r>
    </w:p>
    <w:p w:rsidR="0028415D" w:rsidRDefault="0028415D" w:rsidP="0028415D">
      <w:pPr>
        <w:pStyle w:val="Heading2"/>
      </w:pPr>
      <w:r>
        <w:t>Treatment of Secured Creditors</w:t>
      </w:r>
    </w:p>
    <w:p w:rsidR="0028415D" w:rsidRDefault="0028415D" w:rsidP="0028415D">
      <w:pPr>
        <w:pStyle w:val="Heading3"/>
      </w:pPr>
      <w:r>
        <w:t xml:space="preserve">Do you really need the secured creditor to vote in favor </w:t>
      </w:r>
      <w:r w:rsidR="00130841">
        <w:t>– Sec. 1129(b)(2)(A)</w:t>
      </w:r>
    </w:p>
    <w:p w:rsidR="00040DEA" w:rsidRDefault="00040DEA" w:rsidP="0028415D">
      <w:pPr>
        <w:pStyle w:val="Heading3"/>
      </w:pPr>
      <w:r>
        <w:t>Cramdown standards</w:t>
      </w:r>
    </w:p>
    <w:p w:rsidR="00040DEA" w:rsidRDefault="00040DEA" w:rsidP="0028415D">
      <w:pPr>
        <w:pStyle w:val="Heading3"/>
      </w:pPr>
      <w:r>
        <w:t>Cramdown Interest rate</w:t>
      </w:r>
      <w:r w:rsidR="00C367F1">
        <w:t xml:space="preserve"> [</w:t>
      </w:r>
      <w:r w:rsidR="00C367F1" w:rsidRPr="00C367F1">
        <w:t>See</w:t>
      </w:r>
      <w:r w:rsidR="00C367F1">
        <w:t>, feasibility]</w:t>
      </w:r>
    </w:p>
    <w:p w:rsidR="0028415D" w:rsidRDefault="0028415D" w:rsidP="0028415D">
      <w:pPr>
        <w:pStyle w:val="Heading2"/>
      </w:pPr>
      <w:r>
        <w:t xml:space="preserve">Treatment </w:t>
      </w:r>
      <w:r w:rsidR="00130841">
        <w:t>of Unsecured creditors</w:t>
      </w:r>
    </w:p>
    <w:p w:rsidR="004979F4" w:rsidRDefault="00130841" w:rsidP="004979F4">
      <w:pPr>
        <w:pStyle w:val="Heading2"/>
      </w:pPr>
      <w:r>
        <w:t>Do you really need the unsecured creditors to vote in favor – Sec. 1129(b)(2)(B</w:t>
      </w:r>
      <w:r w:rsidR="004979F4">
        <w:t>Classification Tips and Tricks</w:t>
      </w:r>
      <w:r w:rsidR="00040DEA">
        <w:t xml:space="preserve"> - </w:t>
      </w:r>
    </w:p>
    <w:p w:rsidR="006B0A3A" w:rsidRDefault="00040DEA" w:rsidP="006B0A3A">
      <w:pPr>
        <w:pStyle w:val="Heading3"/>
      </w:pPr>
      <w:r>
        <w:t>Convenience Class and impariment</w:t>
      </w:r>
    </w:p>
    <w:p w:rsidR="006B0A3A" w:rsidRDefault="00040DEA" w:rsidP="006B0A3A">
      <w:pPr>
        <w:pStyle w:val="Heading3"/>
      </w:pPr>
      <w:r>
        <w:t>Deficiency Claims separately classified</w:t>
      </w:r>
    </w:p>
    <w:p w:rsidR="00130841" w:rsidRDefault="00130841" w:rsidP="00130841">
      <w:pPr>
        <w:pStyle w:val="Heading2"/>
      </w:pPr>
      <w:r>
        <w:t>Impairment/Reinstatement Option for Dissenting Classes</w:t>
      </w:r>
    </w:p>
    <w:p w:rsidR="00CA5007" w:rsidRDefault="00040DEA" w:rsidP="00130841">
      <w:pPr>
        <w:pStyle w:val="Heading2"/>
      </w:pPr>
      <w:r>
        <w:lastRenderedPageBreak/>
        <w:t xml:space="preserve">Confirmation Blocking Claims - </w:t>
      </w:r>
      <w:r w:rsidR="00CA5007">
        <w:t>Claim Objections</w:t>
      </w:r>
      <w:r>
        <w:t xml:space="preserve"> for</w:t>
      </w:r>
      <w:r w:rsidR="00CA5007">
        <w:t xml:space="preserve"> Voting, Estimation</w:t>
      </w:r>
      <w:r>
        <w:t xml:space="preserve"> of Contingent Unliquidated Claims for voting</w:t>
      </w:r>
    </w:p>
    <w:p w:rsidR="00130841" w:rsidRDefault="00130841" w:rsidP="00130841">
      <w:pPr>
        <w:pStyle w:val="Heading2"/>
      </w:pPr>
      <w:r>
        <w:t>Absolute priority</w:t>
      </w:r>
    </w:p>
    <w:p w:rsidR="00130841" w:rsidRDefault="00130841" w:rsidP="00130841">
      <w:pPr>
        <w:pStyle w:val="Heading3"/>
      </w:pPr>
      <w:r>
        <w:t>What does it really mean?</w:t>
      </w:r>
    </w:p>
    <w:p w:rsidR="00130841" w:rsidRDefault="00130841" w:rsidP="00130841">
      <w:pPr>
        <w:pStyle w:val="Heading3"/>
      </w:pPr>
      <w:r>
        <w:t>Do you really need an auction?</w:t>
      </w:r>
    </w:p>
    <w:p w:rsidR="00C367F1" w:rsidRDefault="00C367F1" w:rsidP="00130841">
      <w:pPr>
        <w:pStyle w:val="Heading3"/>
      </w:pPr>
      <w:r>
        <w:t>Exclusivity as a Market Test</w:t>
      </w:r>
    </w:p>
    <w:p w:rsidR="00130841" w:rsidRDefault="00130841" w:rsidP="00130841">
      <w:pPr>
        <w:pStyle w:val="Heading2"/>
      </w:pPr>
      <w:r>
        <w:t>Feasibility</w:t>
      </w:r>
      <w:r w:rsidR="00C367F1">
        <w:t xml:space="preserve"> – </w:t>
      </w:r>
    </w:p>
    <w:p w:rsidR="006B0A3A" w:rsidRDefault="00C367F1" w:rsidP="006B0A3A">
      <w:pPr>
        <w:pStyle w:val="Heading3"/>
      </w:pPr>
      <w:r>
        <w:t>Nature of the Business</w:t>
      </w:r>
    </w:p>
    <w:p w:rsidR="004979F4" w:rsidRDefault="00C367F1" w:rsidP="00130841">
      <w:pPr>
        <w:pStyle w:val="Heading2"/>
      </w:pPr>
      <w:r>
        <w:t>Nature of the Interest Rate Calculations post-petition</w:t>
      </w:r>
      <w:r w:rsidR="004979F4">
        <w:t>Plan Releases</w:t>
      </w:r>
      <w:r w:rsidR="008A4E91">
        <w:t>, Exculpa</w:t>
      </w:r>
      <w:r>
        <w:t>t</w:t>
      </w:r>
      <w:r w:rsidR="008A4E91">
        <w:t>i</w:t>
      </w:r>
      <w:r>
        <w:t xml:space="preserve">ons </w:t>
      </w:r>
    </w:p>
    <w:p w:rsidR="00130841" w:rsidRDefault="004979F4" w:rsidP="00130841">
      <w:pPr>
        <w:pStyle w:val="Heading1"/>
      </w:pPr>
      <w:r>
        <w:t>Elements of t</w:t>
      </w:r>
      <w:r w:rsidR="00130841">
        <w:t>he Disclosure Statement</w:t>
      </w:r>
    </w:p>
    <w:p w:rsidR="00130841" w:rsidRDefault="00CA5007" w:rsidP="00130841">
      <w:pPr>
        <w:pStyle w:val="Heading2"/>
      </w:pPr>
      <w:r>
        <w:t>Description of the Business</w:t>
      </w:r>
    </w:p>
    <w:p w:rsidR="00CA5007" w:rsidRDefault="00CA5007" w:rsidP="00130841">
      <w:pPr>
        <w:pStyle w:val="Heading2"/>
      </w:pPr>
      <w:r>
        <w:t>History</w:t>
      </w:r>
    </w:p>
    <w:p w:rsidR="00CA5007" w:rsidRDefault="00CA5007" w:rsidP="00130841">
      <w:pPr>
        <w:pStyle w:val="Heading2"/>
      </w:pPr>
      <w:r>
        <w:t>Cause of Bankruptcy Filing</w:t>
      </w:r>
    </w:p>
    <w:p w:rsidR="00CA5007" w:rsidRDefault="00CA5007" w:rsidP="00130841">
      <w:pPr>
        <w:pStyle w:val="Heading2"/>
      </w:pPr>
      <w:r>
        <w:t>Summary of Assets and Liabilities</w:t>
      </w:r>
    </w:p>
    <w:p w:rsidR="00CA5007" w:rsidRDefault="00CA5007" w:rsidP="00130841">
      <w:pPr>
        <w:pStyle w:val="Heading2"/>
      </w:pPr>
      <w:r>
        <w:t>Ownership, management, compensation</w:t>
      </w:r>
    </w:p>
    <w:p w:rsidR="00CA5007" w:rsidRDefault="00CA5007" w:rsidP="00130841">
      <w:pPr>
        <w:pStyle w:val="Heading2"/>
      </w:pPr>
      <w:r>
        <w:t>Significant event in the bankruptcy case – pleadings/orders</w:t>
      </w:r>
    </w:p>
    <w:p w:rsidR="00CA5007" w:rsidRDefault="00CA5007" w:rsidP="00130841">
      <w:pPr>
        <w:pStyle w:val="Heading2"/>
      </w:pPr>
      <w:r>
        <w:t>Plan Description (copy and paste)</w:t>
      </w:r>
    </w:p>
    <w:p w:rsidR="00CA5007" w:rsidRDefault="00CA5007" w:rsidP="00130841">
      <w:pPr>
        <w:pStyle w:val="Heading2"/>
      </w:pPr>
      <w:r>
        <w:t>Means for Execution (how do we get paid)</w:t>
      </w:r>
    </w:p>
    <w:p w:rsidR="00CA5007" w:rsidRDefault="00CA5007" w:rsidP="00130841">
      <w:pPr>
        <w:pStyle w:val="Heading2"/>
      </w:pPr>
      <w:r>
        <w:t>Description of Pending Litigation</w:t>
      </w:r>
    </w:p>
    <w:p w:rsidR="00CA5007" w:rsidRDefault="00CA5007" w:rsidP="00130841">
      <w:pPr>
        <w:pStyle w:val="Heading2"/>
      </w:pPr>
      <w:r>
        <w:t>Chapter 5 Causes of Action</w:t>
      </w:r>
    </w:p>
    <w:p w:rsidR="004979F4" w:rsidRDefault="004979F4" w:rsidP="00130841">
      <w:pPr>
        <w:pStyle w:val="Heading2"/>
      </w:pPr>
      <w:r>
        <w:t>Alternatives</w:t>
      </w:r>
    </w:p>
    <w:p w:rsidR="004979F4" w:rsidRDefault="004979F4" w:rsidP="00130841">
      <w:pPr>
        <w:pStyle w:val="Heading2"/>
      </w:pPr>
      <w:r>
        <w:t>Federal Tax Consequences</w:t>
      </w:r>
    </w:p>
    <w:p w:rsidR="004979F4" w:rsidRDefault="004979F4" w:rsidP="00130841">
      <w:pPr>
        <w:pStyle w:val="Heading2"/>
      </w:pPr>
      <w:r>
        <w:t>Liquidation Analysis</w:t>
      </w:r>
    </w:p>
    <w:p w:rsidR="004979F4" w:rsidRDefault="004979F4" w:rsidP="00130841">
      <w:pPr>
        <w:pStyle w:val="Heading2"/>
      </w:pPr>
      <w:r>
        <w:lastRenderedPageBreak/>
        <w:t>Claims Analysis</w:t>
      </w:r>
    </w:p>
    <w:p w:rsidR="007D68EC" w:rsidRDefault="004979F4" w:rsidP="004979F4">
      <w:pPr>
        <w:pStyle w:val="Heading2"/>
      </w:pPr>
      <w:r>
        <w:t>Cash Flow Model</w:t>
      </w:r>
    </w:p>
    <w:sectPr w:rsidR="007D68EC" w:rsidSect="00FB7828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5007" w:rsidRDefault="00CA5007" w:rsidP="007D68EC">
      <w:pPr>
        <w:spacing w:after="0" w:line="240" w:lineRule="auto"/>
      </w:pPr>
      <w:r>
        <w:separator/>
      </w:r>
    </w:p>
  </w:endnote>
  <w:endnote w:type="continuationSeparator" w:id="0">
    <w:p w:rsidR="00CA5007" w:rsidRDefault="00CA5007" w:rsidP="007D68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5007" w:rsidRPr="007D68EC" w:rsidRDefault="00D15FE3" w:rsidP="007D68EC">
    <w:pPr>
      <w:pStyle w:val="Footer"/>
    </w:pPr>
    <w:r w:rsidRPr="00D15FE3">
      <w:rPr>
        <w:noProof/>
        <w:vanish/>
        <w:sz w:val="18"/>
      </w:rPr>
      <w:t>{</w:t>
    </w:r>
    <w:r w:rsidRPr="00D15FE3">
      <w:rPr>
        <w:noProof/>
        <w:sz w:val="18"/>
      </w:rPr>
      <w:t>851000-00001 ELR 6/10/2014 00880349.DOCX 1</w:t>
    </w:r>
    <w:r w:rsidRPr="00D15FE3">
      <w:rPr>
        <w:noProof/>
        <w:vanish/>
        <w:sz w:val="18"/>
      </w:rPr>
      <w:t>}</w:t>
    </w:r>
    <w:r w:rsidR="00CA5007"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5007" w:rsidRDefault="00CA5007" w:rsidP="007D68EC">
      <w:pPr>
        <w:spacing w:after="0" w:line="240" w:lineRule="auto"/>
        <w:rPr>
          <w:noProof/>
        </w:rPr>
      </w:pPr>
      <w:r>
        <w:rPr>
          <w:noProof/>
        </w:rPr>
        <w:separator/>
      </w:r>
    </w:p>
  </w:footnote>
  <w:footnote w:type="continuationSeparator" w:id="0">
    <w:p w:rsidR="00CA5007" w:rsidRDefault="00CA5007" w:rsidP="007D68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64505B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outline"/>
  <w:zoom w:percent="160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D68EC"/>
    <w:rsid w:val="00040DEA"/>
    <w:rsid w:val="00130841"/>
    <w:rsid w:val="0028415D"/>
    <w:rsid w:val="004979F4"/>
    <w:rsid w:val="004C798B"/>
    <w:rsid w:val="006B0A3A"/>
    <w:rsid w:val="006F26F9"/>
    <w:rsid w:val="007D68EC"/>
    <w:rsid w:val="008A4E91"/>
    <w:rsid w:val="00A11AE0"/>
    <w:rsid w:val="00C367F1"/>
    <w:rsid w:val="00CA5007"/>
    <w:rsid w:val="00D15FE3"/>
    <w:rsid w:val="00E20DF8"/>
    <w:rsid w:val="00F03A53"/>
    <w:rsid w:val="00FB7828"/>
    <w:rsid w:val="00FE0E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7828"/>
  </w:style>
  <w:style w:type="paragraph" w:styleId="Heading1">
    <w:name w:val="heading 1"/>
    <w:basedOn w:val="Normal"/>
    <w:next w:val="Normal"/>
    <w:link w:val="Heading1Char"/>
    <w:uiPriority w:val="9"/>
    <w:qFormat/>
    <w:rsid w:val="007D68EC"/>
    <w:pPr>
      <w:keepNext/>
      <w:keepLines/>
      <w:numPr>
        <w:numId w:val="1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D68EC"/>
    <w:pPr>
      <w:keepNext/>
      <w:keepLines/>
      <w:numPr>
        <w:ilvl w:val="1"/>
        <w:numId w:val="1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D68EC"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D68EC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D68EC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D68EC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D68EC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D68EC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D68EC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D68E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D68E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D68E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7D68E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D68E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D68E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D68E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D68E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D68E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7D68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D68EC"/>
  </w:style>
  <w:style w:type="paragraph" w:styleId="Footer">
    <w:name w:val="footer"/>
    <w:basedOn w:val="Normal"/>
    <w:link w:val="FooterChar"/>
    <w:uiPriority w:val="99"/>
    <w:unhideWhenUsed/>
    <w:rsid w:val="007D68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68EC"/>
  </w:style>
  <w:style w:type="paragraph" w:styleId="BalloonText">
    <w:name w:val="Balloon Text"/>
    <w:basedOn w:val="Normal"/>
    <w:link w:val="BalloonTextChar"/>
    <w:uiPriority w:val="99"/>
    <w:semiHidden/>
    <w:unhideWhenUsed/>
    <w:rsid w:val="00040DEA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0DEA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7828"/>
  </w:style>
  <w:style w:type="paragraph" w:styleId="Heading1">
    <w:name w:val="heading 1"/>
    <w:basedOn w:val="Normal"/>
    <w:next w:val="Normal"/>
    <w:link w:val="Heading1Char"/>
    <w:uiPriority w:val="9"/>
    <w:qFormat/>
    <w:rsid w:val="007D68EC"/>
    <w:pPr>
      <w:keepNext/>
      <w:keepLines/>
      <w:numPr>
        <w:numId w:val="1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D68EC"/>
    <w:pPr>
      <w:keepNext/>
      <w:keepLines/>
      <w:numPr>
        <w:ilvl w:val="1"/>
        <w:numId w:val="1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D68EC"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D68EC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D68EC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D68EC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D68EC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D68EC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D68EC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D68E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D68E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D68E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7D68E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D68E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D68E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D68E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D68E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D68E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7D68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D68EC"/>
  </w:style>
  <w:style w:type="paragraph" w:styleId="Footer">
    <w:name w:val="footer"/>
    <w:basedOn w:val="Normal"/>
    <w:link w:val="FooterChar"/>
    <w:uiPriority w:val="99"/>
    <w:unhideWhenUsed/>
    <w:rsid w:val="007D68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68EC"/>
  </w:style>
  <w:style w:type="paragraph" w:styleId="BalloonText">
    <w:name w:val="Balloon Text"/>
    <w:basedOn w:val="Normal"/>
    <w:link w:val="BalloonTextChar"/>
    <w:uiPriority w:val="99"/>
    <w:semiHidden/>
    <w:unhideWhenUsed/>
    <w:rsid w:val="00040DEA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0DEA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284</Words>
  <Characters>1517</Characters>
  <Application>Microsoft Office Word</Application>
  <DocSecurity>0</DocSecurity>
  <PresentationFormat/>
  <Lines>51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Bench Bar Presentation (00875675).DOCX</vt:lpstr>
    </vt:vector>
  </TitlesOfParts>
  <Company/>
  <LinksUpToDate>false</LinksUpToDate>
  <CharactersWithSpaces>1764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Bench Bar Presentation Jordon Comments (00880349).DOCX</dc:title>
  <dc:subject>851000-00001 ELR 6/10/2014 00880349.DOCX 1</dc:subject>
  <dc:creator>Edward L. Rothberg</dc:creator>
  <cp:keywords/>
  <dc:description/>
  <cp:lastModifiedBy>Edward L. Rothberg</cp:lastModifiedBy>
  <cp:revision>3</cp:revision>
  <dcterms:created xsi:type="dcterms:W3CDTF">2014-06-10T19:36:00Z</dcterms:created>
  <dcterms:modified xsi:type="dcterms:W3CDTF">2014-06-17T04:28:00Z</dcterms:modified>
</cp:coreProperties>
</file>