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0B" w:rsidRPr="00942174" w:rsidRDefault="00C21070" w:rsidP="006B05E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COURT </w:t>
      </w:r>
      <w:r w:rsidR="00FC5A0D" w:rsidRPr="00942174">
        <w:rPr>
          <w:rFonts w:ascii="Times New Roman" w:hAnsi="Times New Roman" w:cs="Times New Roman"/>
          <w:b/>
          <w:sz w:val="24"/>
          <w:szCs w:val="24"/>
        </w:rPr>
        <w:t>PROCEDURES AND PRACTICE TIPS</w:t>
      </w:r>
    </w:p>
    <w:p w:rsidR="00942174" w:rsidRPr="00942174" w:rsidRDefault="00942174" w:rsidP="006B05EE">
      <w:pPr>
        <w:spacing w:after="0"/>
        <w:jc w:val="center"/>
        <w:rPr>
          <w:rFonts w:ascii="Times New Roman" w:hAnsi="Times New Roman" w:cs="Times New Roman"/>
          <w:b/>
          <w:sz w:val="24"/>
          <w:szCs w:val="24"/>
        </w:rPr>
      </w:pPr>
      <w:r w:rsidRPr="00942174">
        <w:rPr>
          <w:rFonts w:ascii="Times New Roman" w:hAnsi="Times New Roman" w:cs="Times New Roman"/>
          <w:b/>
          <w:sz w:val="24"/>
          <w:szCs w:val="24"/>
        </w:rPr>
        <w:t>Judge David R. Jones</w:t>
      </w:r>
    </w:p>
    <w:p w:rsidR="006B05EE" w:rsidRPr="00E23885" w:rsidRDefault="00DC6357" w:rsidP="00DA520E">
      <w:pPr>
        <w:spacing w:after="0"/>
        <w:jc w:val="center"/>
        <w:rPr>
          <w:rFonts w:ascii="Times New Roman" w:hAnsi="Times New Roman" w:cs="Times New Roman"/>
          <w:sz w:val="24"/>
          <w:szCs w:val="24"/>
        </w:rPr>
      </w:pPr>
      <w:r>
        <w:rPr>
          <w:rFonts w:ascii="Times New Roman" w:hAnsi="Times New Roman" w:cs="Times New Roman"/>
          <w:b/>
          <w:sz w:val="24"/>
          <w:szCs w:val="24"/>
          <w:u w:val="single"/>
        </w:rPr>
        <w:t>November 14</w:t>
      </w:r>
      <w:r w:rsidR="001B1AAD">
        <w:rPr>
          <w:rFonts w:ascii="Times New Roman" w:hAnsi="Times New Roman" w:cs="Times New Roman"/>
          <w:b/>
          <w:sz w:val="24"/>
          <w:szCs w:val="24"/>
          <w:u w:val="single"/>
        </w:rPr>
        <w:t>, 2016</w:t>
      </w:r>
    </w:p>
    <w:p w:rsidR="006754EB" w:rsidRDefault="00233A0B" w:rsidP="00C43372">
      <w:pPr>
        <w:pStyle w:val="Heading1"/>
        <w:numPr>
          <w:ilvl w:val="0"/>
          <w:numId w:val="4"/>
        </w:numPr>
        <w:spacing w:before="360"/>
        <w:rPr>
          <w:rFonts w:ascii="Times New Roman" w:hAnsi="Times New Roman" w:cs="Times New Roman"/>
          <w:color w:val="000000" w:themeColor="text1"/>
          <w:sz w:val="24"/>
          <w:szCs w:val="24"/>
          <w:u w:val="single"/>
        </w:rPr>
      </w:pPr>
      <w:r w:rsidRPr="00715CE3">
        <w:rPr>
          <w:rFonts w:ascii="Times New Roman" w:hAnsi="Times New Roman" w:cs="Times New Roman"/>
          <w:color w:val="000000" w:themeColor="text1"/>
          <w:sz w:val="24"/>
          <w:szCs w:val="24"/>
          <w:u w:val="single"/>
        </w:rPr>
        <w:t>Contact with Court and Court Personne</w:t>
      </w:r>
      <w:r w:rsidR="006754EB">
        <w:rPr>
          <w:rFonts w:ascii="Times New Roman" w:hAnsi="Times New Roman" w:cs="Times New Roman"/>
          <w:color w:val="000000" w:themeColor="text1"/>
          <w:sz w:val="24"/>
          <w:szCs w:val="24"/>
          <w:u w:val="single"/>
        </w:rPr>
        <w:t>l</w:t>
      </w:r>
      <w:r w:rsidR="00A74993">
        <w:rPr>
          <w:rFonts w:ascii="Times New Roman" w:hAnsi="Times New Roman" w:cs="Times New Roman"/>
          <w:color w:val="000000" w:themeColor="text1"/>
          <w:sz w:val="24"/>
          <w:szCs w:val="24"/>
          <w:u w:val="single"/>
        </w:rPr>
        <w:t>.</w:t>
      </w:r>
    </w:p>
    <w:p w:rsidR="00620C78" w:rsidRPr="00620C78" w:rsidRDefault="00620C78" w:rsidP="006B05EE">
      <w:pPr>
        <w:spacing w:after="0" w:line="240" w:lineRule="auto"/>
      </w:pPr>
    </w:p>
    <w:p w:rsidR="00AD084A" w:rsidRPr="004D13E3" w:rsidRDefault="005E3BF5" w:rsidP="00E67A2F">
      <w:pPr>
        <w:pStyle w:val="Heading1"/>
        <w:numPr>
          <w:ilvl w:val="1"/>
          <w:numId w:val="4"/>
        </w:numPr>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All requests for relief </w:t>
      </w:r>
      <w:r w:rsidR="00233A0B" w:rsidRPr="004D13E3">
        <w:rPr>
          <w:rFonts w:ascii="Times New Roman" w:hAnsi="Times New Roman" w:cs="Times New Roman"/>
          <w:b w:val="0"/>
          <w:color w:val="000000" w:themeColor="text1"/>
          <w:sz w:val="24"/>
          <w:szCs w:val="24"/>
        </w:rPr>
        <w:t xml:space="preserve">should be in the form of </w:t>
      </w:r>
      <w:r>
        <w:rPr>
          <w:rFonts w:ascii="Times New Roman" w:hAnsi="Times New Roman" w:cs="Times New Roman"/>
          <w:b w:val="0"/>
          <w:color w:val="000000" w:themeColor="text1"/>
          <w:sz w:val="24"/>
          <w:szCs w:val="24"/>
        </w:rPr>
        <w:t xml:space="preserve">written motions </w:t>
      </w:r>
      <w:r w:rsidR="00233A0B" w:rsidRPr="004D13E3">
        <w:rPr>
          <w:rFonts w:ascii="Times New Roman" w:hAnsi="Times New Roman" w:cs="Times New Roman"/>
          <w:b w:val="0"/>
          <w:color w:val="000000" w:themeColor="text1"/>
          <w:sz w:val="24"/>
          <w:szCs w:val="24"/>
        </w:rPr>
        <w:t xml:space="preserve">filed with the </w:t>
      </w:r>
      <w:r>
        <w:rPr>
          <w:rFonts w:ascii="Times New Roman" w:hAnsi="Times New Roman" w:cs="Times New Roman"/>
          <w:b w:val="0"/>
          <w:color w:val="000000" w:themeColor="text1"/>
          <w:sz w:val="24"/>
          <w:szCs w:val="24"/>
        </w:rPr>
        <w:t>C</w:t>
      </w:r>
      <w:r w:rsidR="00233A0B" w:rsidRPr="004D13E3">
        <w:rPr>
          <w:rFonts w:ascii="Times New Roman" w:hAnsi="Times New Roman" w:cs="Times New Roman"/>
          <w:b w:val="0"/>
          <w:color w:val="000000" w:themeColor="text1"/>
          <w:sz w:val="24"/>
          <w:szCs w:val="24"/>
        </w:rPr>
        <w:t xml:space="preserve">lerk of the Court. </w:t>
      </w:r>
      <w:r w:rsidR="001B1AAD">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For procedural questions</w:t>
      </w:r>
      <w:r w:rsidR="001B1AAD">
        <w:rPr>
          <w:rFonts w:ascii="Times New Roman" w:hAnsi="Times New Roman" w:cs="Times New Roman"/>
          <w:b w:val="0"/>
          <w:color w:val="000000" w:themeColor="text1"/>
          <w:sz w:val="24"/>
          <w:szCs w:val="24"/>
        </w:rPr>
        <w:t>, such as scheduling</w:t>
      </w:r>
      <w:r>
        <w:rPr>
          <w:rFonts w:ascii="Times New Roman" w:hAnsi="Times New Roman" w:cs="Times New Roman"/>
          <w:b w:val="0"/>
          <w:color w:val="000000" w:themeColor="text1"/>
          <w:sz w:val="24"/>
          <w:szCs w:val="24"/>
        </w:rPr>
        <w:t xml:space="preserve">, parties </w:t>
      </w:r>
      <w:r w:rsidR="00233A0B" w:rsidRPr="004D13E3">
        <w:rPr>
          <w:rFonts w:ascii="Times New Roman" w:hAnsi="Times New Roman" w:cs="Times New Roman"/>
          <w:b w:val="0"/>
          <w:color w:val="000000" w:themeColor="text1"/>
          <w:sz w:val="24"/>
          <w:szCs w:val="24"/>
        </w:rPr>
        <w:t xml:space="preserve">may contact the Court’s case manager: </w:t>
      </w:r>
      <w:r w:rsidR="005D13DC" w:rsidRPr="004D13E3">
        <w:rPr>
          <w:rFonts w:ascii="Times New Roman" w:hAnsi="Times New Roman" w:cs="Times New Roman"/>
          <w:b w:val="0"/>
          <w:color w:val="000000" w:themeColor="text1"/>
          <w:sz w:val="24"/>
          <w:szCs w:val="24"/>
        </w:rPr>
        <w:t>Albert Alonzo</w:t>
      </w:r>
      <w:r w:rsidR="00233A0B" w:rsidRPr="004D13E3">
        <w:rPr>
          <w:rFonts w:ascii="Times New Roman" w:hAnsi="Times New Roman" w:cs="Times New Roman"/>
          <w:b w:val="0"/>
          <w:color w:val="000000" w:themeColor="text1"/>
          <w:sz w:val="24"/>
          <w:szCs w:val="24"/>
        </w:rPr>
        <w:t xml:space="preserve"> at </w:t>
      </w:r>
      <w:r w:rsidR="005D13DC" w:rsidRPr="004D13E3">
        <w:rPr>
          <w:rFonts w:ascii="Times New Roman" w:hAnsi="Times New Roman" w:cs="Times New Roman"/>
          <w:b w:val="0"/>
          <w:color w:val="000000" w:themeColor="text1"/>
          <w:sz w:val="24"/>
          <w:szCs w:val="24"/>
        </w:rPr>
        <w:t>Albert</w:t>
      </w:r>
      <w:r w:rsidR="00233A0B" w:rsidRPr="004D13E3">
        <w:rPr>
          <w:rFonts w:ascii="Times New Roman" w:hAnsi="Times New Roman" w:cs="Times New Roman"/>
          <w:b w:val="0"/>
          <w:color w:val="000000" w:themeColor="text1"/>
          <w:sz w:val="24"/>
          <w:szCs w:val="24"/>
        </w:rPr>
        <w:t>_</w:t>
      </w:r>
      <w:r w:rsidR="005D13DC" w:rsidRPr="004D13E3">
        <w:rPr>
          <w:rFonts w:ascii="Times New Roman" w:hAnsi="Times New Roman" w:cs="Times New Roman"/>
          <w:b w:val="0"/>
          <w:color w:val="000000" w:themeColor="text1"/>
          <w:sz w:val="24"/>
          <w:szCs w:val="24"/>
        </w:rPr>
        <w:t>Alonzo</w:t>
      </w:r>
      <w:r w:rsidR="00233A0B" w:rsidRPr="004D13E3">
        <w:rPr>
          <w:rFonts w:ascii="Times New Roman" w:hAnsi="Times New Roman" w:cs="Times New Roman"/>
          <w:b w:val="0"/>
          <w:color w:val="000000" w:themeColor="text1"/>
          <w:sz w:val="24"/>
          <w:szCs w:val="24"/>
        </w:rPr>
        <w:t>@txs.uscourts.gov</w:t>
      </w:r>
      <w:r w:rsidR="006200C3">
        <w:rPr>
          <w:rFonts w:ascii="Times New Roman" w:hAnsi="Times New Roman" w:cs="Times New Roman"/>
          <w:b w:val="0"/>
          <w:color w:val="000000" w:themeColor="text1"/>
          <w:sz w:val="24"/>
          <w:szCs w:val="24"/>
        </w:rPr>
        <w:t>,</w:t>
      </w:r>
      <w:r w:rsidR="00233A0B" w:rsidRPr="004D13E3">
        <w:rPr>
          <w:rFonts w:ascii="Times New Roman" w:hAnsi="Times New Roman" w:cs="Times New Roman"/>
          <w:b w:val="0"/>
          <w:color w:val="000000" w:themeColor="text1"/>
          <w:sz w:val="24"/>
          <w:szCs w:val="24"/>
        </w:rPr>
        <w:t xml:space="preserve"> </w:t>
      </w:r>
      <w:r w:rsidR="006200C3">
        <w:rPr>
          <w:rFonts w:ascii="Times New Roman" w:hAnsi="Times New Roman" w:cs="Times New Roman"/>
          <w:b w:val="0"/>
          <w:color w:val="000000" w:themeColor="text1"/>
          <w:sz w:val="24"/>
          <w:szCs w:val="24"/>
        </w:rPr>
        <w:t xml:space="preserve">(office) </w:t>
      </w:r>
      <w:r w:rsidR="00233A0B" w:rsidRPr="004D13E3">
        <w:rPr>
          <w:rFonts w:ascii="Times New Roman" w:hAnsi="Times New Roman" w:cs="Times New Roman"/>
          <w:b w:val="0"/>
          <w:color w:val="000000" w:themeColor="text1"/>
          <w:sz w:val="24"/>
          <w:szCs w:val="24"/>
        </w:rPr>
        <w:t>(713)</w:t>
      </w:r>
      <w:r w:rsidR="005D13DC" w:rsidRPr="004D13E3">
        <w:rPr>
          <w:rFonts w:ascii="Times New Roman" w:hAnsi="Times New Roman" w:cs="Times New Roman"/>
          <w:b w:val="0"/>
          <w:color w:val="000000" w:themeColor="text1"/>
          <w:sz w:val="24"/>
          <w:szCs w:val="24"/>
        </w:rPr>
        <w:t xml:space="preserve"> </w:t>
      </w:r>
      <w:r w:rsidR="00233A0B" w:rsidRPr="004D13E3">
        <w:rPr>
          <w:rFonts w:ascii="Times New Roman" w:hAnsi="Times New Roman" w:cs="Times New Roman"/>
          <w:b w:val="0"/>
          <w:color w:val="000000" w:themeColor="text1"/>
          <w:sz w:val="24"/>
          <w:szCs w:val="24"/>
        </w:rPr>
        <w:t>250-54</w:t>
      </w:r>
      <w:r w:rsidR="005D13DC" w:rsidRPr="004D13E3">
        <w:rPr>
          <w:rFonts w:ascii="Times New Roman" w:hAnsi="Times New Roman" w:cs="Times New Roman"/>
          <w:b w:val="0"/>
          <w:color w:val="000000" w:themeColor="text1"/>
          <w:sz w:val="24"/>
          <w:szCs w:val="24"/>
        </w:rPr>
        <w:t>67</w:t>
      </w:r>
      <w:r w:rsidR="006200C3">
        <w:rPr>
          <w:rFonts w:ascii="Times New Roman" w:hAnsi="Times New Roman" w:cs="Times New Roman"/>
          <w:b w:val="0"/>
          <w:color w:val="000000" w:themeColor="text1"/>
          <w:sz w:val="24"/>
          <w:szCs w:val="24"/>
        </w:rPr>
        <w:t xml:space="preserve"> or (cell) </w:t>
      </w:r>
      <w:r w:rsidR="006459BC">
        <w:rPr>
          <w:rFonts w:ascii="Times New Roman" w:hAnsi="Times New Roman" w:cs="Times New Roman"/>
          <w:b w:val="0"/>
          <w:color w:val="000000" w:themeColor="text1"/>
          <w:sz w:val="24"/>
          <w:szCs w:val="24"/>
        </w:rPr>
        <w:t>832-993-7656</w:t>
      </w:r>
      <w:r w:rsidR="005D13DC" w:rsidRPr="004D13E3">
        <w:rPr>
          <w:rFonts w:ascii="Times New Roman" w:hAnsi="Times New Roman" w:cs="Times New Roman"/>
          <w:b w:val="0"/>
          <w:color w:val="000000" w:themeColor="text1"/>
          <w:sz w:val="24"/>
          <w:szCs w:val="24"/>
        </w:rPr>
        <w:t xml:space="preserve">. </w:t>
      </w:r>
      <w:r w:rsidR="00FC5A0D" w:rsidRPr="004D13E3">
        <w:rPr>
          <w:rFonts w:ascii="Times New Roman" w:hAnsi="Times New Roman" w:cs="Times New Roman"/>
          <w:b w:val="0"/>
          <w:color w:val="000000" w:themeColor="text1"/>
          <w:sz w:val="24"/>
          <w:szCs w:val="24"/>
        </w:rPr>
        <w:t xml:space="preserve"> </w:t>
      </w:r>
      <w:r w:rsidR="005D13DC" w:rsidRPr="004D13E3">
        <w:rPr>
          <w:rFonts w:ascii="Times New Roman" w:hAnsi="Times New Roman" w:cs="Times New Roman"/>
          <w:b w:val="0"/>
          <w:color w:val="000000" w:themeColor="text1"/>
          <w:sz w:val="24"/>
          <w:szCs w:val="24"/>
        </w:rPr>
        <w:t>If Mr</w:t>
      </w:r>
      <w:r w:rsidR="00233A0B" w:rsidRPr="004D13E3">
        <w:rPr>
          <w:rFonts w:ascii="Times New Roman" w:hAnsi="Times New Roman" w:cs="Times New Roman"/>
          <w:b w:val="0"/>
          <w:color w:val="000000" w:themeColor="text1"/>
          <w:sz w:val="24"/>
          <w:szCs w:val="24"/>
        </w:rPr>
        <w:t xml:space="preserve">. </w:t>
      </w:r>
      <w:r w:rsidR="005D13DC" w:rsidRPr="004D13E3">
        <w:rPr>
          <w:rFonts w:ascii="Times New Roman" w:hAnsi="Times New Roman" w:cs="Times New Roman"/>
          <w:b w:val="0"/>
          <w:color w:val="000000" w:themeColor="text1"/>
          <w:sz w:val="24"/>
          <w:szCs w:val="24"/>
        </w:rPr>
        <w:t xml:space="preserve">Alonzo </w:t>
      </w:r>
      <w:r w:rsidR="00233A0B" w:rsidRPr="004D13E3">
        <w:rPr>
          <w:rFonts w:ascii="Times New Roman" w:hAnsi="Times New Roman" w:cs="Times New Roman"/>
          <w:b w:val="0"/>
          <w:color w:val="000000" w:themeColor="text1"/>
          <w:sz w:val="24"/>
          <w:szCs w:val="24"/>
        </w:rPr>
        <w:t xml:space="preserve">is </w:t>
      </w:r>
      <w:r w:rsidR="00BB1FA9">
        <w:rPr>
          <w:rFonts w:ascii="Times New Roman" w:hAnsi="Times New Roman" w:cs="Times New Roman"/>
          <w:b w:val="0"/>
          <w:color w:val="000000" w:themeColor="text1"/>
          <w:sz w:val="24"/>
          <w:szCs w:val="24"/>
        </w:rPr>
        <w:t>unavailable</w:t>
      </w:r>
      <w:r w:rsidR="006459BC">
        <w:rPr>
          <w:rFonts w:ascii="Times New Roman" w:hAnsi="Times New Roman" w:cs="Times New Roman"/>
          <w:b w:val="0"/>
          <w:color w:val="000000" w:themeColor="text1"/>
          <w:sz w:val="24"/>
          <w:szCs w:val="24"/>
        </w:rPr>
        <w:t xml:space="preserve"> and an emergency exists</w:t>
      </w:r>
      <w:r w:rsidR="00BB1FA9">
        <w:rPr>
          <w:rFonts w:ascii="Times New Roman" w:hAnsi="Times New Roman" w:cs="Times New Roman"/>
          <w:b w:val="0"/>
          <w:color w:val="000000" w:themeColor="text1"/>
          <w:sz w:val="24"/>
          <w:szCs w:val="24"/>
        </w:rPr>
        <w:t xml:space="preserve">, </w:t>
      </w:r>
      <w:r w:rsidR="00233A0B" w:rsidRPr="004D13E3">
        <w:rPr>
          <w:rFonts w:ascii="Times New Roman" w:hAnsi="Times New Roman" w:cs="Times New Roman"/>
          <w:b w:val="0"/>
          <w:color w:val="000000" w:themeColor="text1"/>
          <w:sz w:val="24"/>
          <w:szCs w:val="24"/>
        </w:rPr>
        <w:t xml:space="preserve">please contact </w:t>
      </w:r>
      <w:r w:rsidR="000F51AE">
        <w:rPr>
          <w:rFonts w:ascii="Times New Roman" w:hAnsi="Times New Roman" w:cs="Times New Roman"/>
          <w:b w:val="0"/>
          <w:color w:val="000000" w:themeColor="text1"/>
          <w:sz w:val="24"/>
          <w:szCs w:val="24"/>
        </w:rPr>
        <w:t>the c</w:t>
      </w:r>
      <w:r w:rsidR="005C1ED3">
        <w:rPr>
          <w:rFonts w:ascii="Times New Roman" w:hAnsi="Times New Roman" w:cs="Times New Roman"/>
          <w:b w:val="0"/>
          <w:color w:val="000000" w:themeColor="text1"/>
          <w:sz w:val="24"/>
          <w:szCs w:val="24"/>
        </w:rPr>
        <w:t xml:space="preserve">ourtroom </w:t>
      </w:r>
      <w:r w:rsidR="000F51AE">
        <w:rPr>
          <w:rFonts w:ascii="Times New Roman" w:hAnsi="Times New Roman" w:cs="Times New Roman"/>
          <w:b w:val="0"/>
          <w:color w:val="000000" w:themeColor="text1"/>
          <w:sz w:val="24"/>
          <w:szCs w:val="24"/>
        </w:rPr>
        <w:t>d</w:t>
      </w:r>
      <w:r w:rsidR="005C1ED3">
        <w:rPr>
          <w:rFonts w:ascii="Times New Roman" w:hAnsi="Times New Roman" w:cs="Times New Roman"/>
          <w:b w:val="0"/>
          <w:color w:val="000000" w:themeColor="text1"/>
          <w:sz w:val="24"/>
          <w:szCs w:val="24"/>
        </w:rPr>
        <w:t>eputy</w:t>
      </w:r>
      <w:r w:rsidR="000F51AE">
        <w:rPr>
          <w:rFonts w:ascii="Times New Roman" w:hAnsi="Times New Roman" w:cs="Times New Roman"/>
          <w:b w:val="0"/>
          <w:color w:val="000000" w:themeColor="text1"/>
          <w:sz w:val="24"/>
          <w:szCs w:val="24"/>
        </w:rPr>
        <w:t>,</w:t>
      </w:r>
      <w:r w:rsidR="005C1ED3">
        <w:rPr>
          <w:rFonts w:ascii="Times New Roman" w:hAnsi="Times New Roman" w:cs="Times New Roman"/>
          <w:b w:val="0"/>
          <w:color w:val="000000" w:themeColor="text1"/>
          <w:sz w:val="24"/>
          <w:szCs w:val="24"/>
        </w:rPr>
        <w:t xml:space="preserve"> </w:t>
      </w:r>
      <w:proofErr w:type="spellStart"/>
      <w:r w:rsidR="005C1ED3">
        <w:rPr>
          <w:rFonts w:ascii="Times New Roman" w:hAnsi="Times New Roman" w:cs="Times New Roman"/>
          <w:b w:val="0"/>
          <w:color w:val="000000" w:themeColor="text1"/>
          <w:sz w:val="24"/>
          <w:szCs w:val="24"/>
        </w:rPr>
        <w:t>Diyana</w:t>
      </w:r>
      <w:proofErr w:type="spellEnd"/>
      <w:r w:rsidR="005C1ED3">
        <w:rPr>
          <w:rFonts w:ascii="Times New Roman" w:hAnsi="Times New Roman" w:cs="Times New Roman"/>
          <w:b w:val="0"/>
          <w:color w:val="000000" w:themeColor="text1"/>
          <w:sz w:val="24"/>
          <w:szCs w:val="24"/>
        </w:rPr>
        <w:t xml:space="preserve"> Staples</w:t>
      </w:r>
      <w:r w:rsidR="005D13DC" w:rsidRPr="004D13E3">
        <w:rPr>
          <w:rFonts w:ascii="Times New Roman" w:hAnsi="Times New Roman" w:cs="Times New Roman"/>
          <w:b w:val="0"/>
          <w:color w:val="000000" w:themeColor="text1"/>
          <w:sz w:val="24"/>
          <w:szCs w:val="24"/>
        </w:rPr>
        <w:t xml:space="preserve"> </w:t>
      </w:r>
      <w:r w:rsidR="00233A0B" w:rsidRPr="004D13E3">
        <w:rPr>
          <w:rFonts w:ascii="Times New Roman" w:hAnsi="Times New Roman" w:cs="Times New Roman"/>
          <w:b w:val="0"/>
          <w:color w:val="000000" w:themeColor="text1"/>
          <w:sz w:val="24"/>
          <w:szCs w:val="24"/>
        </w:rPr>
        <w:t xml:space="preserve">at </w:t>
      </w:r>
      <w:r w:rsidR="005C1ED3">
        <w:rPr>
          <w:rFonts w:ascii="Times New Roman" w:hAnsi="Times New Roman" w:cs="Times New Roman"/>
          <w:b w:val="0"/>
          <w:color w:val="000000" w:themeColor="text1"/>
          <w:sz w:val="24"/>
          <w:szCs w:val="24"/>
        </w:rPr>
        <w:t>Diyana_Staples</w:t>
      </w:r>
      <w:r w:rsidR="00233A0B" w:rsidRPr="004D13E3">
        <w:rPr>
          <w:rFonts w:ascii="Times New Roman" w:hAnsi="Times New Roman" w:cs="Times New Roman"/>
          <w:b w:val="0"/>
          <w:color w:val="000000" w:themeColor="text1"/>
          <w:sz w:val="24"/>
          <w:szCs w:val="24"/>
        </w:rPr>
        <w:t xml:space="preserve">@txs.uscourts.gov or </w:t>
      </w:r>
      <w:r w:rsidR="006459BC">
        <w:rPr>
          <w:rFonts w:ascii="Times New Roman" w:hAnsi="Times New Roman" w:cs="Times New Roman"/>
          <w:b w:val="0"/>
          <w:color w:val="000000" w:themeColor="text1"/>
          <w:sz w:val="24"/>
          <w:szCs w:val="24"/>
        </w:rPr>
        <w:t xml:space="preserve">(office) </w:t>
      </w:r>
      <w:r w:rsidR="00233A0B" w:rsidRPr="004D13E3">
        <w:rPr>
          <w:rFonts w:ascii="Times New Roman" w:hAnsi="Times New Roman" w:cs="Times New Roman"/>
          <w:b w:val="0"/>
          <w:color w:val="000000" w:themeColor="text1"/>
          <w:sz w:val="24"/>
          <w:szCs w:val="24"/>
        </w:rPr>
        <w:t>(713) 250-</w:t>
      </w:r>
      <w:r w:rsidR="004301BD">
        <w:rPr>
          <w:rFonts w:ascii="Times New Roman" w:hAnsi="Times New Roman" w:cs="Times New Roman"/>
          <w:b w:val="0"/>
          <w:color w:val="000000" w:themeColor="text1"/>
          <w:sz w:val="24"/>
          <w:szCs w:val="24"/>
        </w:rPr>
        <w:t>5713</w:t>
      </w:r>
      <w:r w:rsidR="00AD084A" w:rsidRPr="004D13E3">
        <w:rPr>
          <w:rFonts w:ascii="Times New Roman" w:hAnsi="Times New Roman" w:cs="Times New Roman"/>
          <w:b w:val="0"/>
          <w:color w:val="000000" w:themeColor="text1"/>
          <w:sz w:val="24"/>
          <w:szCs w:val="24"/>
        </w:rPr>
        <w:t>.</w:t>
      </w:r>
    </w:p>
    <w:p w:rsidR="00AD084A" w:rsidRPr="004D13E3" w:rsidRDefault="00AD084A" w:rsidP="004D13E3">
      <w:pPr>
        <w:pStyle w:val="Default"/>
        <w:jc w:val="both"/>
        <w:rPr>
          <w:color w:val="000000" w:themeColor="text1"/>
        </w:rPr>
      </w:pPr>
    </w:p>
    <w:p w:rsidR="006754EB" w:rsidRDefault="006459BC" w:rsidP="00E67A2F">
      <w:pPr>
        <w:pStyle w:val="Default"/>
        <w:numPr>
          <w:ilvl w:val="1"/>
          <w:numId w:val="4"/>
        </w:numPr>
        <w:jc w:val="both"/>
        <w:rPr>
          <w:color w:val="000000" w:themeColor="text1"/>
        </w:rPr>
      </w:pPr>
      <w:r w:rsidRPr="006459BC">
        <w:rPr>
          <w:i/>
          <w:color w:val="000000" w:themeColor="text1"/>
        </w:rPr>
        <w:t>Ex parte</w:t>
      </w:r>
      <w:r w:rsidR="005E3BF5">
        <w:rPr>
          <w:color w:val="000000" w:themeColor="text1"/>
        </w:rPr>
        <w:t xml:space="preserve"> c</w:t>
      </w:r>
      <w:r w:rsidR="00233A0B" w:rsidRPr="004D13E3">
        <w:rPr>
          <w:color w:val="000000" w:themeColor="text1"/>
        </w:rPr>
        <w:t xml:space="preserve">ontact with Judge </w:t>
      </w:r>
      <w:r w:rsidR="005D13DC" w:rsidRPr="004D13E3">
        <w:rPr>
          <w:color w:val="000000" w:themeColor="text1"/>
        </w:rPr>
        <w:t>Jones</w:t>
      </w:r>
      <w:r w:rsidR="00233A0B" w:rsidRPr="004D13E3">
        <w:rPr>
          <w:color w:val="000000" w:themeColor="text1"/>
        </w:rPr>
        <w:t xml:space="preserve"> </w:t>
      </w:r>
      <w:r>
        <w:rPr>
          <w:color w:val="000000" w:themeColor="text1"/>
        </w:rPr>
        <w:t xml:space="preserve">about pending cases </w:t>
      </w:r>
      <w:r w:rsidR="00233A0B" w:rsidRPr="004D13E3">
        <w:rPr>
          <w:color w:val="000000" w:themeColor="text1"/>
        </w:rPr>
        <w:t>is strictly prohibited.</w:t>
      </w:r>
      <w:r w:rsidR="005D13DC" w:rsidRPr="004D13E3">
        <w:rPr>
          <w:color w:val="000000" w:themeColor="text1"/>
        </w:rPr>
        <w:t xml:space="preserve"> </w:t>
      </w:r>
      <w:r w:rsidR="00233A0B" w:rsidRPr="004D13E3">
        <w:rPr>
          <w:color w:val="000000" w:themeColor="text1"/>
        </w:rPr>
        <w:t xml:space="preserve"> </w:t>
      </w:r>
      <w:r>
        <w:rPr>
          <w:color w:val="000000" w:themeColor="text1"/>
        </w:rPr>
        <w:t>All communications about pending cases should be made on the record in open court</w:t>
      </w:r>
      <w:r w:rsidRPr="004D13E3">
        <w:rPr>
          <w:color w:val="000000" w:themeColor="text1"/>
        </w:rPr>
        <w:t>.</w:t>
      </w:r>
      <w:r>
        <w:rPr>
          <w:color w:val="000000" w:themeColor="text1"/>
        </w:rPr>
        <w:t xml:space="preserve">  “C</w:t>
      </w:r>
      <w:r w:rsidR="000F51AE">
        <w:rPr>
          <w:color w:val="000000" w:themeColor="text1"/>
        </w:rPr>
        <w:t xml:space="preserve">hamber’s conferences” </w:t>
      </w:r>
      <w:r>
        <w:rPr>
          <w:color w:val="000000" w:themeColor="text1"/>
        </w:rPr>
        <w:t xml:space="preserve">will not be conducted </w:t>
      </w:r>
      <w:r w:rsidR="000F51AE">
        <w:rPr>
          <w:color w:val="000000" w:themeColor="text1"/>
        </w:rPr>
        <w:t xml:space="preserve">under any circumstances.  </w:t>
      </w:r>
    </w:p>
    <w:p w:rsidR="004D13E3" w:rsidRPr="004D13E3" w:rsidRDefault="004D13E3" w:rsidP="004D13E3">
      <w:pPr>
        <w:pStyle w:val="Default"/>
        <w:jc w:val="both"/>
        <w:rPr>
          <w:color w:val="000000" w:themeColor="text1"/>
        </w:rPr>
      </w:pPr>
    </w:p>
    <w:p w:rsidR="004D13E3" w:rsidRDefault="0082577E" w:rsidP="00E67A2F">
      <w:pPr>
        <w:pStyle w:val="Heading1"/>
        <w:numPr>
          <w:ilvl w:val="1"/>
          <w:numId w:val="4"/>
        </w:numPr>
        <w:autoSpaceDE w:val="0"/>
        <w:autoSpaceDN w:val="0"/>
        <w:adjustRightInd w:val="0"/>
        <w:spacing w:before="0" w:line="240" w:lineRule="auto"/>
        <w:jc w:val="both"/>
        <w:rPr>
          <w:rFonts w:ascii="Times New Roman" w:hAnsi="Times New Roman" w:cs="Times New Roman"/>
          <w:b w:val="0"/>
          <w:color w:val="000000" w:themeColor="text1"/>
          <w:sz w:val="24"/>
          <w:szCs w:val="24"/>
        </w:rPr>
      </w:pPr>
      <w:r w:rsidRPr="004D13E3">
        <w:rPr>
          <w:rFonts w:ascii="Times New Roman" w:hAnsi="Times New Roman" w:cs="Times New Roman"/>
          <w:b w:val="0"/>
          <w:color w:val="000000" w:themeColor="text1"/>
          <w:sz w:val="24"/>
          <w:szCs w:val="24"/>
        </w:rPr>
        <w:t>At Judge Jones</w:t>
      </w:r>
      <w:r w:rsidR="00641DE5">
        <w:rPr>
          <w:rFonts w:ascii="Times New Roman" w:hAnsi="Times New Roman" w:cs="Times New Roman"/>
          <w:b w:val="0"/>
          <w:color w:val="000000" w:themeColor="text1"/>
          <w:sz w:val="24"/>
          <w:szCs w:val="24"/>
        </w:rPr>
        <w:t>’</w:t>
      </w:r>
      <w:r w:rsidRPr="004D13E3">
        <w:rPr>
          <w:rFonts w:ascii="Times New Roman" w:hAnsi="Times New Roman" w:cs="Times New Roman"/>
          <w:b w:val="0"/>
          <w:color w:val="000000" w:themeColor="text1"/>
          <w:sz w:val="24"/>
          <w:szCs w:val="24"/>
        </w:rPr>
        <w:t xml:space="preserve"> direction, </w:t>
      </w:r>
      <w:r w:rsidR="005E3BF5">
        <w:rPr>
          <w:rFonts w:ascii="Times New Roman" w:hAnsi="Times New Roman" w:cs="Times New Roman"/>
          <w:b w:val="0"/>
          <w:color w:val="000000" w:themeColor="text1"/>
          <w:sz w:val="24"/>
          <w:szCs w:val="24"/>
        </w:rPr>
        <w:t>his</w:t>
      </w:r>
      <w:r w:rsidRPr="004D13E3">
        <w:rPr>
          <w:rFonts w:ascii="Times New Roman" w:hAnsi="Times New Roman" w:cs="Times New Roman"/>
          <w:b w:val="0"/>
          <w:color w:val="000000" w:themeColor="text1"/>
          <w:sz w:val="24"/>
          <w:szCs w:val="24"/>
        </w:rPr>
        <w:t xml:space="preserve"> </w:t>
      </w:r>
      <w:r w:rsidR="006459BC">
        <w:rPr>
          <w:rFonts w:ascii="Times New Roman" w:hAnsi="Times New Roman" w:cs="Times New Roman"/>
          <w:b w:val="0"/>
          <w:color w:val="000000" w:themeColor="text1"/>
          <w:sz w:val="24"/>
          <w:szCs w:val="24"/>
        </w:rPr>
        <w:t>staff</w:t>
      </w:r>
      <w:r w:rsidRPr="004D13E3">
        <w:rPr>
          <w:rFonts w:ascii="Times New Roman" w:hAnsi="Times New Roman" w:cs="Times New Roman"/>
          <w:b w:val="0"/>
          <w:color w:val="000000" w:themeColor="text1"/>
          <w:sz w:val="24"/>
          <w:szCs w:val="24"/>
        </w:rPr>
        <w:t xml:space="preserve"> may contact counsel as the need arises. </w:t>
      </w:r>
      <w:r w:rsidR="000F51AE">
        <w:rPr>
          <w:rFonts w:ascii="Times New Roman" w:hAnsi="Times New Roman" w:cs="Times New Roman"/>
          <w:b w:val="0"/>
          <w:color w:val="000000" w:themeColor="text1"/>
          <w:sz w:val="24"/>
          <w:szCs w:val="24"/>
        </w:rPr>
        <w:t xml:space="preserve">If such contact is made, </w:t>
      </w:r>
      <w:r w:rsidRPr="004D13E3">
        <w:rPr>
          <w:rFonts w:ascii="Times New Roman" w:hAnsi="Times New Roman" w:cs="Times New Roman"/>
          <w:b w:val="0"/>
          <w:color w:val="000000" w:themeColor="text1"/>
          <w:sz w:val="24"/>
          <w:szCs w:val="24"/>
        </w:rPr>
        <w:t xml:space="preserve">please refrain from engaging in discussions regarding legal matters which are not the subject of the call. </w:t>
      </w:r>
    </w:p>
    <w:p w:rsidR="00350DCB" w:rsidRPr="00715CE3" w:rsidRDefault="00350DCB" w:rsidP="00E23885">
      <w:pPr>
        <w:pStyle w:val="Default"/>
        <w:jc w:val="both"/>
        <w:rPr>
          <w:b/>
          <w:bCs/>
        </w:rPr>
      </w:pPr>
    </w:p>
    <w:p w:rsidR="00B11344" w:rsidRPr="00B11344" w:rsidRDefault="00591D76" w:rsidP="00E67A2F">
      <w:pPr>
        <w:pStyle w:val="Default"/>
        <w:numPr>
          <w:ilvl w:val="0"/>
          <w:numId w:val="4"/>
        </w:numPr>
        <w:jc w:val="both"/>
      </w:pPr>
      <w:r w:rsidRPr="00B11344">
        <w:rPr>
          <w:b/>
          <w:bCs/>
          <w:u w:val="single"/>
        </w:rPr>
        <w:t>Obtaining Settings for Hearings</w:t>
      </w:r>
      <w:r w:rsidR="00A74993">
        <w:rPr>
          <w:b/>
          <w:bCs/>
          <w:u w:val="single"/>
        </w:rPr>
        <w:t>.</w:t>
      </w:r>
    </w:p>
    <w:p w:rsidR="00B11344" w:rsidRPr="00B11344" w:rsidRDefault="00B11344" w:rsidP="00B11344">
      <w:pPr>
        <w:pStyle w:val="Default"/>
        <w:ind w:left="720"/>
        <w:jc w:val="both"/>
      </w:pPr>
    </w:p>
    <w:p w:rsidR="00B11344" w:rsidRDefault="00BB1FA9" w:rsidP="006B05EE">
      <w:pPr>
        <w:pStyle w:val="Default"/>
        <w:ind w:firstLine="360"/>
        <w:jc w:val="both"/>
      </w:pPr>
      <w:r w:rsidRPr="00BB1FA9">
        <w:rPr>
          <w:b/>
        </w:rPr>
        <w:t>Unless otherwise specifically ordered, all hearings are evidentiary.</w:t>
      </w:r>
    </w:p>
    <w:p w:rsidR="00B11344" w:rsidRPr="00B11344" w:rsidRDefault="00B11344" w:rsidP="00B11344">
      <w:pPr>
        <w:pStyle w:val="Default"/>
        <w:jc w:val="both"/>
        <w:rPr>
          <w:b/>
          <w:bCs/>
        </w:rPr>
      </w:pPr>
    </w:p>
    <w:p w:rsidR="00B11344" w:rsidRPr="005E3BF5" w:rsidRDefault="00B11344" w:rsidP="00E67A2F">
      <w:pPr>
        <w:pStyle w:val="Default"/>
        <w:numPr>
          <w:ilvl w:val="1"/>
          <w:numId w:val="4"/>
        </w:numPr>
        <w:jc w:val="both"/>
        <w:rPr>
          <w:bCs/>
        </w:rPr>
      </w:pPr>
      <w:r w:rsidRPr="00AD084A">
        <w:rPr>
          <w:b/>
        </w:rPr>
        <w:t>Self</w:t>
      </w:r>
      <w:r w:rsidR="00417451">
        <w:rPr>
          <w:b/>
        </w:rPr>
        <w:t>-</w:t>
      </w:r>
      <w:r w:rsidR="006B05EE">
        <w:rPr>
          <w:b/>
        </w:rPr>
        <w:t>Calenda</w:t>
      </w:r>
      <w:r w:rsidRPr="00AD084A">
        <w:rPr>
          <w:b/>
        </w:rPr>
        <w:t>ring.</w:t>
      </w:r>
      <w:r w:rsidRPr="00AD084A">
        <w:t xml:space="preserve">  </w:t>
      </w:r>
      <w:r w:rsidR="005E3BF5">
        <w:t>Certain motions such as</w:t>
      </w:r>
      <w:r w:rsidR="009E07D9" w:rsidRPr="00AD084A">
        <w:t xml:space="preserve"> fee applications</w:t>
      </w:r>
      <w:r w:rsidR="005E3BF5">
        <w:t xml:space="preserve"> may (but are not required to) </w:t>
      </w:r>
      <w:r w:rsidR="00417451">
        <w:t>be self-</w:t>
      </w:r>
      <w:r w:rsidR="005E3BF5">
        <w:t xml:space="preserve">calendared.  When an eligible motion is filed </w:t>
      </w:r>
      <w:r w:rsidR="00233A0B" w:rsidRPr="00AD084A">
        <w:t>in the Court’s electronic filing system</w:t>
      </w:r>
      <w:r w:rsidR="009E07D9" w:rsidRPr="00AD084A">
        <w:t xml:space="preserve"> (CM/ECF)</w:t>
      </w:r>
      <w:r w:rsidR="00233A0B" w:rsidRPr="00AD084A">
        <w:t xml:space="preserve">, the system will prompt </w:t>
      </w:r>
      <w:r w:rsidR="00417451">
        <w:t>the filer for the</w:t>
      </w:r>
      <w:r w:rsidR="00233A0B" w:rsidRPr="00AD084A">
        <w:t xml:space="preserve"> date </w:t>
      </w:r>
      <w:r w:rsidR="00417451">
        <w:t xml:space="preserve">of </w:t>
      </w:r>
      <w:r w:rsidR="00233A0B" w:rsidRPr="00AD084A">
        <w:t xml:space="preserve">a hearing. </w:t>
      </w:r>
      <w:r w:rsidR="009E07D9" w:rsidRPr="00AD084A">
        <w:t xml:space="preserve"> </w:t>
      </w:r>
      <w:r w:rsidR="00233A0B" w:rsidRPr="00AD084A">
        <w:t>Only a date that is listed as an available date on the Court’s website should be selected. You must select a date that is at least 2</w:t>
      </w:r>
      <w:r w:rsidR="005E3BF5">
        <w:t>5</w:t>
      </w:r>
      <w:r w:rsidR="00233A0B" w:rsidRPr="00AD084A">
        <w:t xml:space="preserve"> days from the date that you file </w:t>
      </w:r>
      <w:r w:rsidR="006B05EE">
        <w:t>the</w:t>
      </w:r>
      <w:r w:rsidR="00233A0B" w:rsidRPr="00AD084A">
        <w:t xml:space="preserve"> motion. </w:t>
      </w:r>
      <w:r w:rsidR="00233A0B" w:rsidRPr="005E3BF5">
        <w:rPr>
          <w:b/>
        </w:rPr>
        <w:t xml:space="preserve">All motions for relief from stay (§ 362) </w:t>
      </w:r>
      <w:r w:rsidR="006B05EE">
        <w:rPr>
          <w:b/>
        </w:rPr>
        <w:t>and objections to claim</w:t>
      </w:r>
      <w:r w:rsidR="000F51AE">
        <w:rPr>
          <w:b/>
        </w:rPr>
        <w:t>s</w:t>
      </w:r>
      <w:r w:rsidR="006B05EE">
        <w:rPr>
          <w:b/>
        </w:rPr>
        <w:t xml:space="preserve"> </w:t>
      </w:r>
      <w:r w:rsidR="00233A0B" w:rsidRPr="005E3BF5">
        <w:rPr>
          <w:b/>
        </w:rPr>
        <w:t xml:space="preserve">must be </w:t>
      </w:r>
      <w:r w:rsidR="006B05EE">
        <w:rPr>
          <w:b/>
        </w:rPr>
        <w:t xml:space="preserve">self-calendared </w:t>
      </w:r>
      <w:r w:rsidR="00233A0B" w:rsidRPr="005E3BF5">
        <w:rPr>
          <w:b/>
        </w:rPr>
        <w:t>for a hearing</w:t>
      </w:r>
      <w:r w:rsidR="00233A0B" w:rsidRPr="000F51AE">
        <w:t>.</w:t>
      </w:r>
      <w:r w:rsidR="00233A0B" w:rsidRPr="00AD084A">
        <w:t xml:space="preserve"> </w:t>
      </w:r>
      <w:r w:rsidR="000F51AE">
        <w:t xml:space="preserve"> </w:t>
      </w:r>
      <w:r w:rsidRPr="005E3BF5">
        <w:rPr>
          <w:bCs/>
        </w:rPr>
        <w:t>You m</w:t>
      </w:r>
      <w:r w:rsidR="005E3BF5">
        <w:rPr>
          <w:bCs/>
        </w:rPr>
        <w:t>ust</w:t>
      </w:r>
      <w:r w:rsidR="0023320A" w:rsidRPr="005E3BF5">
        <w:rPr>
          <w:bCs/>
        </w:rPr>
        <w:t xml:space="preserve"> select a</w:t>
      </w:r>
      <w:r w:rsidRPr="005E3BF5">
        <w:rPr>
          <w:bCs/>
        </w:rPr>
        <w:t xml:space="preserve"> </w:t>
      </w:r>
      <w:r w:rsidR="00217A27" w:rsidRPr="005E3BF5">
        <w:rPr>
          <w:bCs/>
        </w:rPr>
        <w:t>date</w:t>
      </w:r>
      <w:r w:rsidRPr="005E3BF5">
        <w:rPr>
          <w:bCs/>
        </w:rPr>
        <w:t xml:space="preserve"> </w:t>
      </w:r>
      <w:r w:rsidR="005E3BF5">
        <w:rPr>
          <w:bCs/>
        </w:rPr>
        <w:t xml:space="preserve">that is </w:t>
      </w:r>
      <w:r w:rsidRPr="005E3BF5">
        <w:rPr>
          <w:bCs/>
        </w:rPr>
        <w:t xml:space="preserve">designated as available in </w:t>
      </w:r>
      <w:r w:rsidR="00641DE5">
        <w:rPr>
          <w:bCs/>
        </w:rPr>
        <w:t>CM/</w:t>
      </w:r>
      <w:r w:rsidRPr="005E3BF5">
        <w:rPr>
          <w:bCs/>
        </w:rPr>
        <w:t>ECF.</w:t>
      </w:r>
    </w:p>
    <w:p w:rsidR="00B11344" w:rsidRPr="00AD084A" w:rsidRDefault="00B11344" w:rsidP="00B11344">
      <w:pPr>
        <w:pStyle w:val="Default"/>
        <w:ind w:left="720"/>
        <w:jc w:val="both"/>
        <w:rPr>
          <w:b/>
          <w:bCs/>
        </w:rPr>
      </w:pPr>
    </w:p>
    <w:p w:rsidR="00233A0B" w:rsidRPr="00E23885" w:rsidRDefault="00B11344" w:rsidP="00E67A2F">
      <w:pPr>
        <w:pStyle w:val="Default"/>
        <w:numPr>
          <w:ilvl w:val="1"/>
          <w:numId w:val="4"/>
        </w:numPr>
        <w:jc w:val="both"/>
      </w:pPr>
      <w:r w:rsidRPr="00AD084A">
        <w:rPr>
          <w:b/>
          <w:bCs/>
        </w:rPr>
        <w:t>Settings by the Court</w:t>
      </w:r>
      <w:r w:rsidR="00217A27" w:rsidRPr="00AD084A">
        <w:rPr>
          <w:b/>
          <w:bCs/>
        </w:rPr>
        <w:t>.</w:t>
      </w:r>
      <w:r w:rsidRPr="00AD084A">
        <w:rPr>
          <w:b/>
          <w:bCs/>
        </w:rPr>
        <w:t xml:space="preserve">  </w:t>
      </w:r>
      <w:r w:rsidR="00233A0B" w:rsidRPr="00E23885">
        <w:t xml:space="preserve">If </w:t>
      </w:r>
      <w:r w:rsidR="00AD084A">
        <w:t xml:space="preserve">a pleading is filed for which </w:t>
      </w:r>
      <w:r w:rsidR="00233A0B" w:rsidRPr="00E23885">
        <w:t xml:space="preserve">self-calendaring </w:t>
      </w:r>
      <w:r w:rsidR="00AD084A">
        <w:t>is not available</w:t>
      </w:r>
      <w:r w:rsidR="005E3BF5">
        <w:t xml:space="preserve"> or if an eligible motion is not self-calend</w:t>
      </w:r>
      <w:r w:rsidR="006B05EE">
        <w:t>a</w:t>
      </w:r>
      <w:r w:rsidR="005E3BF5">
        <w:t>red</w:t>
      </w:r>
      <w:r w:rsidR="00AD084A">
        <w:t xml:space="preserve">, the </w:t>
      </w:r>
      <w:r w:rsidR="00233A0B" w:rsidRPr="00E23885">
        <w:t xml:space="preserve">Court </w:t>
      </w:r>
      <w:r w:rsidR="00AD084A">
        <w:t xml:space="preserve">will </w:t>
      </w:r>
      <w:r w:rsidR="005E3BF5">
        <w:t>review</w:t>
      </w:r>
      <w:r w:rsidR="00AD084A">
        <w:t xml:space="preserve"> the pleading and either rule on the motion or </w:t>
      </w:r>
      <w:r w:rsidR="00233A0B" w:rsidRPr="00E23885">
        <w:t xml:space="preserve">set a hearing. </w:t>
      </w:r>
      <w:r w:rsidR="000F51AE">
        <w:t xml:space="preserve">  Objections should indicate whether a hearing is requested.</w:t>
      </w:r>
    </w:p>
    <w:p w:rsidR="00350DCB" w:rsidRPr="00715CE3" w:rsidRDefault="00350DCB" w:rsidP="00E23885">
      <w:pPr>
        <w:pStyle w:val="Default"/>
        <w:jc w:val="both"/>
        <w:rPr>
          <w:b/>
          <w:bCs/>
        </w:rPr>
      </w:pPr>
    </w:p>
    <w:p w:rsidR="000E13BC" w:rsidRPr="00A74993" w:rsidRDefault="000E13BC" w:rsidP="00E67A2F">
      <w:pPr>
        <w:pStyle w:val="Default"/>
        <w:keepNext/>
        <w:keepLines/>
        <w:numPr>
          <w:ilvl w:val="0"/>
          <w:numId w:val="4"/>
        </w:numPr>
        <w:jc w:val="both"/>
        <w:rPr>
          <w:b/>
          <w:u w:val="single"/>
        </w:rPr>
      </w:pPr>
      <w:r w:rsidRPr="00A74993">
        <w:rPr>
          <w:b/>
          <w:u w:val="single"/>
        </w:rPr>
        <w:t>Pending Motions</w:t>
      </w:r>
      <w:r w:rsidR="00A74993" w:rsidRPr="00A74993">
        <w:rPr>
          <w:b/>
          <w:u w:val="single"/>
        </w:rPr>
        <w:t>.</w:t>
      </w:r>
    </w:p>
    <w:p w:rsidR="000E13BC" w:rsidRDefault="000E13BC" w:rsidP="00417451">
      <w:pPr>
        <w:pStyle w:val="Default"/>
        <w:keepNext/>
        <w:keepLines/>
        <w:ind w:left="360"/>
        <w:jc w:val="both"/>
      </w:pPr>
    </w:p>
    <w:p w:rsidR="000E13BC" w:rsidRPr="000E13BC" w:rsidRDefault="000E13BC" w:rsidP="006B05EE">
      <w:pPr>
        <w:pStyle w:val="Default"/>
        <w:keepNext/>
        <w:keepLines/>
        <w:ind w:left="360"/>
        <w:jc w:val="both"/>
        <w:rPr>
          <w:iCs/>
        </w:rPr>
      </w:pPr>
      <w:r w:rsidRPr="00E23885">
        <w:t xml:space="preserve">Motions </w:t>
      </w:r>
      <w:r w:rsidR="00417451">
        <w:t xml:space="preserve">will </w:t>
      </w:r>
      <w:r w:rsidRPr="00E23885">
        <w:t xml:space="preserve">not </w:t>
      </w:r>
      <w:r w:rsidR="000F51AE">
        <w:t xml:space="preserve">ordinarily </w:t>
      </w:r>
      <w:r w:rsidR="00417451">
        <w:t xml:space="preserve">be </w:t>
      </w:r>
      <w:r w:rsidRPr="00E23885">
        <w:t>considered until at least 2</w:t>
      </w:r>
      <w:r w:rsidR="00417451">
        <w:t>5</w:t>
      </w:r>
      <w:r w:rsidRPr="00E23885">
        <w:t xml:space="preserve"> days after submission. </w:t>
      </w:r>
      <w:r>
        <w:t xml:space="preserve"> </w:t>
      </w:r>
      <w:r w:rsidRPr="00E23885">
        <w:t xml:space="preserve">If the Court has not ruled on a motion within </w:t>
      </w:r>
      <w:r w:rsidR="00417451">
        <w:t>3</w:t>
      </w:r>
      <w:r w:rsidR="00641DE5">
        <w:t>5</w:t>
      </w:r>
      <w:r w:rsidRPr="00E23885">
        <w:t xml:space="preserve"> days, parties should contact the case manager to inquire </w:t>
      </w:r>
      <w:r>
        <w:t>about the status of the motion.</w:t>
      </w:r>
      <w:r w:rsidR="00B42FB5">
        <w:t xml:space="preserve">  </w:t>
      </w:r>
      <w:r w:rsidRPr="00AD084A">
        <w:rPr>
          <w:i/>
          <w:iCs/>
        </w:rPr>
        <w:t xml:space="preserve"> </w:t>
      </w:r>
    </w:p>
    <w:p w:rsidR="000E13BC" w:rsidRPr="00AD084A" w:rsidRDefault="000E13BC" w:rsidP="000E13BC">
      <w:pPr>
        <w:pStyle w:val="Default"/>
        <w:ind w:left="360" w:firstLine="360"/>
        <w:jc w:val="both"/>
      </w:pPr>
    </w:p>
    <w:p w:rsidR="005F1175" w:rsidRPr="00715CE3" w:rsidRDefault="005F1175" w:rsidP="00641DE5">
      <w:pPr>
        <w:pStyle w:val="Default"/>
        <w:keepNext/>
        <w:keepLines/>
        <w:numPr>
          <w:ilvl w:val="0"/>
          <w:numId w:val="4"/>
        </w:numPr>
        <w:jc w:val="both"/>
        <w:rPr>
          <w:b/>
          <w:bCs/>
          <w:u w:val="single"/>
        </w:rPr>
      </w:pPr>
      <w:r w:rsidRPr="00715CE3">
        <w:rPr>
          <w:b/>
          <w:bCs/>
          <w:u w:val="single"/>
        </w:rPr>
        <w:t>Emergenc</w:t>
      </w:r>
      <w:r w:rsidR="00EE560D">
        <w:rPr>
          <w:b/>
          <w:bCs/>
          <w:u w:val="single"/>
        </w:rPr>
        <w:t>y Motions</w:t>
      </w:r>
      <w:r w:rsidR="00A74993">
        <w:rPr>
          <w:b/>
          <w:bCs/>
          <w:u w:val="single"/>
        </w:rPr>
        <w:t>.</w:t>
      </w:r>
    </w:p>
    <w:p w:rsidR="004F1AAC" w:rsidRDefault="004F1AAC" w:rsidP="00641DE5">
      <w:pPr>
        <w:pStyle w:val="Default"/>
        <w:keepNext/>
        <w:keepLines/>
        <w:jc w:val="both"/>
        <w:rPr>
          <w:bCs/>
        </w:rPr>
      </w:pPr>
    </w:p>
    <w:p w:rsidR="005F1175" w:rsidRDefault="00BB1FA9" w:rsidP="00641DE5">
      <w:pPr>
        <w:pStyle w:val="Default"/>
        <w:keepNext/>
        <w:keepLines/>
        <w:ind w:left="360"/>
        <w:jc w:val="both"/>
        <w:rPr>
          <w:bCs/>
        </w:rPr>
      </w:pPr>
      <w:r>
        <w:rPr>
          <w:bCs/>
        </w:rPr>
        <w:t>Emergency motions should be filed using the CM/ECF event code for an “emergency motion</w:t>
      </w:r>
      <w:r w:rsidR="00A84160">
        <w:rPr>
          <w:bCs/>
        </w:rPr>
        <w:t>.</w:t>
      </w:r>
      <w:r>
        <w:rPr>
          <w:bCs/>
        </w:rPr>
        <w:t>”  In addition, p</w:t>
      </w:r>
      <w:r w:rsidR="005F1175" w:rsidRPr="00E23885">
        <w:rPr>
          <w:bCs/>
        </w:rPr>
        <w:t>lease contact the case manager if you file a motion requesting</w:t>
      </w:r>
      <w:r w:rsidR="00A41A10">
        <w:rPr>
          <w:bCs/>
        </w:rPr>
        <w:t xml:space="preserve"> emergency consideration.  </w:t>
      </w:r>
      <w:r w:rsidR="00417451" w:rsidRPr="000F51AE">
        <w:rPr>
          <w:b/>
          <w:bCs/>
        </w:rPr>
        <w:t>When filing an emergency motion, please identify the date by which emergency relief is need</w:t>
      </w:r>
      <w:r w:rsidR="006B05EE" w:rsidRPr="000F51AE">
        <w:rPr>
          <w:b/>
          <w:bCs/>
        </w:rPr>
        <w:t>ed</w:t>
      </w:r>
      <w:r w:rsidR="00417451" w:rsidRPr="000F51AE">
        <w:rPr>
          <w:b/>
          <w:bCs/>
        </w:rPr>
        <w:t xml:space="preserve"> just below the language required by Local Bankruptcy Rule 9013(b)</w:t>
      </w:r>
      <w:r w:rsidR="00641DE5">
        <w:rPr>
          <w:b/>
          <w:bCs/>
        </w:rPr>
        <w:t xml:space="preserve"> and include a short explanation of the nature of the emergency</w:t>
      </w:r>
      <w:r w:rsidR="00417451">
        <w:rPr>
          <w:bCs/>
        </w:rPr>
        <w:t>.</w:t>
      </w:r>
    </w:p>
    <w:p w:rsidR="00EE560D" w:rsidRDefault="00EE560D" w:rsidP="00E23885">
      <w:pPr>
        <w:pStyle w:val="Default"/>
        <w:jc w:val="both"/>
        <w:rPr>
          <w:bCs/>
        </w:rPr>
      </w:pPr>
    </w:p>
    <w:p w:rsidR="00EE560D" w:rsidRDefault="00EE560D" w:rsidP="00E67A2F">
      <w:pPr>
        <w:pStyle w:val="Default"/>
        <w:numPr>
          <w:ilvl w:val="0"/>
          <w:numId w:val="4"/>
        </w:numPr>
        <w:jc w:val="both"/>
        <w:rPr>
          <w:b/>
          <w:bCs/>
        </w:rPr>
      </w:pPr>
      <w:r w:rsidRPr="006B05EE">
        <w:rPr>
          <w:b/>
          <w:bCs/>
          <w:u w:val="single"/>
        </w:rPr>
        <w:t>Expedited Motions</w:t>
      </w:r>
      <w:r w:rsidRPr="00EE560D">
        <w:rPr>
          <w:b/>
          <w:bCs/>
        </w:rPr>
        <w:t>.</w:t>
      </w:r>
    </w:p>
    <w:p w:rsidR="00EE560D" w:rsidRDefault="00EE560D" w:rsidP="00EE560D">
      <w:pPr>
        <w:pStyle w:val="Default"/>
        <w:jc w:val="both"/>
        <w:rPr>
          <w:b/>
          <w:bCs/>
        </w:rPr>
      </w:pPr>
    </w:p>
    <w:p w:rsidR="00EE560D" w:rsidRPr="00EE560D" w:rsidRDefault="00EE560D" w:rsidP="006B05EE">
      <w:pPr>
        <w:pStyle w:val="Default"/>
        <w:ind w:left="360"/>
        <w:jc w:val="both"/>
        <w:rPr>
          <w:bCs/>
        </w:rPr>
      </w:pPr>
      <w:r>
        <w:rPr>
          <w:bCs/>
        </w:rPr>
        <w:t xml:space="preserve">Motions that are not emergency motions but which require consideration </w:t>
      </w:r>
      <w:r w:rsidR="0059568F">
        <w:rPr>
          <w:bCs/>
        </w:rPr>
        <w:t>prior to the standard 25-day review may be styled as an “Expedited Motion</w:t>
      </w:r>
      <w:r w:rsidR="00A84160">
        <w:rPr>
          <w:bCs/>
        </w:rPr>
        <w:t xml:space="preserve"> for _______</w:t>
      </w:r>
      <w:r w:rsidR="0059568F">
        <w:rPr>
          <w:bCs/>
        </w:rPr>
        <w:t>.”</w:t>
      </w:r>
      <w:r w:rsidR="00A84160" w:rsidRPr="00A84160">
        <w:rPr>
          <w:bCs/>
        </w:rPr>
        <w:t xml:space="preserve"> </w:t>
      </w:r>
      <w:r w:rsidR="00A84160">
        <w:rPr>
          <w:bCs/>
        </w:rPr>
        <w:t>Expedited motions should be filed using the CM/ECF event code for the requested relief.</w:t>
      </w:r>
      <w:r w:rsidR="0059568F" w:rsidRPr="0059568F">
        <w:rPr>
          <w:bCs/>
        </w:rPr>
        <w:t xml:space="preserve"> </w:t>
      </w:r>
      <w:r w:rsidR="0059568F">
        <w:rPr>
          <w:bCs/>
        </w:rPr>
        <w:t xml:space="preserve"> </w:t>
      </w:r>
      <w:r w:rsidR="0059568F" w:rsidRPr="000F51AE">
        <w:rPr>
          <w:b/>
          <w:bCs/>
        </w:rPr>
        <w:t>When filing an expedited motion, (</w:t>
      </w:r>
      <w:proofErr w:type="spellStart"/>
      <w:r w:rsidR="0059568F" w:rsidRPr="000F51AE">
        <w:rPr>
          <w:b/>
          <w:bCs/>
        </w:rPr>
        <w:t>i</w:t>
      </w:r>
      <w:proofErr w:type="spellEnd"/>
      <w:r w:rsidR="0059568F" w:rsidRPr="000F51AE">
        <w:rPr>
          <w:b/>
          <w:bCs/>
        </w:rPr>
        <w:t>) please identify the date by which expedited relief is need</w:t>
      </w:r>
      <w:r w:rsidR="006B05EE" w:rsidRPr="000F51AE">
        <w:rPr>
          <w:b/>
          <w:bCs/>
        </w:rPr>
        <w:t>ed</w:t>
      </w:r>
      <w:r w:rsidR="0059568F" w:rsidRPr="000F51AE">
        <w:rPr>
          <w:b/>
          <w:bCs/>
        </w:rPr>
        <w:t xml:space="preserve"> just below the language required by Local Bankruptcy Rule 9013(b); and (ii) include an explanation in the body of the motion setting forth why expedited consideration is required and the harm that will be suffered if expedited relief is not obtained</w:t>
      </w:r>
      <w:r w:rsidR="0059568F">
        <w:rPr>
          <w:bCs/>
        </w:rPr>
        <w:t>.</w:t>
      </w:r>
      <w:r w:rsidR="001B1AAD">
        <w:rPr>
          <w:bCs/>
        </w:rPr>
        <w:t xml:space="preserve">  </w:t>
      </w:r>
      <w:r w:rsidR="001B1AAD" w:rsidRPr="001B1AAD">
        <w:rPr>
          <w:b/>
          <w:bCs/>
          <w:u w:val="single"/>
        </w:rPr>
        <w:t>The Court strongly urges movants seeking expedited relief to notify the Court’s case manager</w:t>
      </w:r>
      <w:r w:rsidR="001B1AAD">
        <w:rPr>
          <w:b/>
          <w:bCs/>
          <w:u w:val="single"/>
        </w:rPr>
        <w:t xml:space="preserve"> upon the filing of the motion</w:t>
      </w:r>
      <w:r w:rsidR="001B1AAD" w:rsidRPr="001B1AAD">
        <w:rPr>
          <w:b/>
          <w:bCs/>
          <w:u w:val="single"/>
        </w:rPr>
        <w:t>.</w:t>
      </w:r>
    </w:p>
    <w:p w:rsidR="00EE560D" w:rsidRPr="00EE560D" w:rsidRDefault="00EE560D" w:rsidP="00EE560D">
      <w:pPr>
        <w:pStyle w:val="Default"/>
        <w:jc w:val="both"/>
        <w:rPr>
          <w:b/>
          <w:bCs/>
        </w:rPr>
      </w:pPr>
    </w:p>
    <w:p w:rsidR="00233A0B" w:rsidRPr="00715CE3" w:rsidRDefault="00233A0B" w:rsidP="00E67A2F">
      <w:pPr>
        <w:pStyle w:val="Default"/>
        <w:numPr>
          <w:ilvl w:val="0"/>
          <w:numId w:val="4"/>
        </w:numPr>
        <w:jc w:val="both"/>
        <w:rPr>
          <w:b/>
          <w:u w:val="single"/>
        </w:rPr>
      </w:pPr>
      <w:r w:rsidRPr="00715CE3">
        <w:rPr>
          <w:b/>
          <w:bCs/>
          <w:u w:val="single"/>
        </w:rPr>
        <w:t>Continuances</w:t>
      </w:r>
      <w:r w:rsidR="00A74993" w:rsidRPr="006B05EE">
        <w:rPr>
          <w:b/>
          <w:bCs/>
        </w:rPr>
        <w:t>.</w:t>
      </w:r>
    </w:p>
    <w:p w:rsidR="00233A0B" w:rsidRPr="00E23885" w:rsidRDefault="00233A0B" w:rsidP="00E23885">
      <w:pPr>
        <w:pStyle w:val="Default"/>
        <w:jc w:val="both"/>
      </w:pPr>
    </w:p>
    <w:p w:rsidR="005F1175" w:rsidRPr="00E23885" w:rsidRDefault="00233A0B" w:rsidP="006B05EE">
      <w:pPr>
        <w:pStyle w:val="Default"/>
        <w:ind w:left="360"/>
        <w:jc w:val="both"/>
      </w:pPr>
      <w:r w:rsidRPr="00E23885">
        <w:t xml:space="preserve">A continuance </w:t>
      </w:r>
      <w:r w:rsidR="006B05EE">
        <w:t>may</w:t>
      </w:r>
      <w:r w:rsidRPr="00E23885">
        <w:t xml:space="preserve"> only be requested by motion. </w:t>
      </w:r>
      <w:r w:rsidR="001D5FBB">
        <w:t xml:space="preserve"> Parties are requested to contact the Court’s case manager as soon as the motion is filed</w:t>
      </w:r>
      <w:r w:rsidR="00417451">
        <w:t xml:space="preserve">.  All motions for </w:t>
      </w:r>
      <w:r w:rsidR="00A84160">
        <w:t xml:space="preserve">a </w:t>
      </w:r>
      <w:r w:rsidR="00417451">
        <w:t>continuance should concisely state the reason a continuance is being requested</w:t>
      </w:r>
      <w:r w:rsidR="00641DE5">
        <w:t xml:space="preserve"> and the amount of additional time that is needed</w:t>
      </w:r>
      <w:r w:rsidR="00417451">
        <w:t>.  Until a</w:t>
      </w:r>
      <w:r w:rsidR="006B05EE">
        <w:t xml:space="preserve"> motion for </w:t>
      </w:r>
      <w:r w:rsidR="00417451">
        <w:t xml:space="preserve">continuance is granted, all parties should assume that no continuance will occur. </w:t>
      </w:r>
    </w:p>
    <w:p w:rsidR="00360B38" w:rsidRPr="00715CE3" w:rsidRDefault="00360B38" w:rsidP="00E23885">
      <w:pPr>
        <w:pStyle w:val="Default"/>
        <w:jc w:val="both"/>
        <w:rPr>
          <w:b/>
        </w:rPr>
      </w:pPr>
    </w:p>
    <w:p w:rsidR="00B55C60" w:rsidRPr="00715CE3" w:rsidRDefault="00B55C60" w:rsidP="00E67A2F">
      <w:pPr>
        <w:pStyle w:val="Default"/>
        <w:numPr>
          <w:ilvl w:val="0"/>
          <w:numId w:val="4"/>
        </w:numPr>
        <w:jc w:val="both"/>
        <w:rPr>
          <w:b/>
        </w:rPr>
      </w:pPr>
      <w:r w:rsidRPr="00715CE3">
        <w:rPr>
          <w:b/>
          <w:bCs/>
          <w:u w:val="single"/>
        </w:rPr>
        <w:t>Extensions of Deadlines</w:t>
      </w:r>
      <w:r w:rsidR="00A74993" w:rsidRPr="006B05EE">
        <w:rPr>
          <w:b/>
          <w:bCs/>
        </w:rPr>
        <w:t>.</w:t>
      </w:r>
    </w:p>
    <w:p w:rsidR="00B55C60" w:rsidRPr="00E23885" w:rsidRDefault="00B55C60" w:rsidP="00E23885">
      <w:pPr>
        <w:pStyle w:val="Default"/>
        <w:jc w:val="both"/>
      </w:pPr>
    </w:p>
    <w:p w:rsidR="005F1175" w:rsidRPr="00E23885" w:rsidRDefault="005F1175" w:rsidP="006B05EE">
      <w:pPr>
        <w:pStyle w:val="Default"/>
        <w:ind w:left="360"/>
        <w:jc w:val="both"/>
      </w:pPr>
      <w:r w:rsidRPr="00E23885">
        <w:t xml:space="preserve">If the parties wish to modify deadlines that do not impact the </w:t>
      </w:r>
      <w:r w:rsidR="00417451">
        <w:t>C</w:t>
      </w:r>
      <w:r w:rsidRPr="00E23885">
        <w:t>ourt</w:t>
      </w:r>
      <w:r w:rsidR="00417451">
        <w:t>’s</w:t>
      </w:r>
      <w:r w:rsidRPr="00E23885">
        <w:t xml:space="preserve"> calendar, such as extensions of discovery deadlines or the date for filing an answer in an adversary proceeding</w:t>
      </w:r>
      <w:r w:rsidR="006B05EE">
        <w:t xml:space="preserve"> prior to an initial scheduling conference</w:t>
      </w:r>
      <w:r w:rsidRPr="00E23885">
        <w:t xml:space="preserve">, the parties may agree </w:t>
      </w:r>
      <w:r w:rsidR="00417451">
        <w:t xml:space="preserve">among themselves </w:t>
      </w:r>
      <w:r w:rsidRPr="00E23885">
        <w:t xml:space="preserve">to such extensions </w:t>
      </w:r>
      <w:r w:rsidR="00417451">
        <w:t xml:space="preserve">without the necessity of a court order so long as the agreement is embodied </w:t>
      </w:r>
      <w:r w:rsidRPr="00E23885">
        <w:t xml:space="preserve">in </w:t>
      </w:r>
      <w:r w:rsidR="00417451">
        <w:t xml:space="preserve">a writing </w:t>
      </w:r>
      <w:r w:rsidR="00A84160">
        <w:t xml:space="preserve">(such as a stipulation) </w:t>
      </w:r>
      <w:r w:rsidR="00417451">
        <w:t>filed with the court</w:t>
      </w:r>
      <w:r w:rsidRPr="00E23885">
        <w:t xml:space="preserve">.  </w:t>
      </w:r>
      <w:r w:rsidR="00417451">
        <w:t xml:space="preserve">All other extensions, such as a party’s </w:t>
      </w:r>
      <w:r w:rsidR="00EE560D">
        <w:t>deadline to respond to a pending motion, or a request to change a hearing date, require a written motion and order from the Court.</w:t>
      </w:r>
    </w:p>
    <w:p w:rsidR="00217A27" w:rsidRDefault="00217A27" w:rsidP="00E23885">
      <w:pPr>
        <w:pStyle w:val="Default"/>
        <w:jc w:val="both"/>
      </w:pPr>
    </w:p>
    <w:p w:rsidR="006C536C" w:rsidRPr="006C536C" w:rsidRDefault="00233A0B" w:rsidP="00E67A2F">
      <w:pPr>
        <w:pStyle w:val="Default"/>
        <w:numPr>
          <w:ilvl w:val="0"/>
          <w:numId w:val="4"/>
        </w:numPr>
        <w:jc w:val="both"/>
        <w:rPr>
          <w:b/>
        </w:rPr>
      </w:pPr>
      <w:r w:rsidRPr="00715CE3">
        <w:rPr>
          <w:b/>
          <w:bCs/>
          <w:u w:val="single"/>
        </w:rPr>
        <w:t>Telephonic Participation</w:t>
      </w:r>
      <w:r w:rsidR="00A74993" w:rsidRPr="006B05EE">
        <w:rPr>
          <w:b/>
          <w:bCs/>
        </w:rPr>
        <w:t>.</w:t>
      </w:r>
    </w:p>
    <w:p w:rsidR="006C536C" w:rsidRPr="006C536C" w:rsidRDefault="006C536C" w:rsidP="006C536C">
      <w:pPr>
        <w:pStyle w:val="Default"/>
        <w:ind w:left="360"/>
        <w:jc w:val="both"/>
        <w:rPr>
          <w:b/>
        </w:rPr>
      </w:pPr>
    </w:p>
    <w:p w:rsidR="005D24AD" w:rsidRDefault="0059568F" w:rsidP="00E67A2F">
      <w:pPr>
        <w:pStyle w:val="Default"/>
        <w:numPr>
          <w:ilvl w:val="1"/>
          <w:numId w:val="4"/>
        </w:numPr>
        <w:jc w:val="both"/>
      </w:pPr>
      <w:proofErr w:type="gramStart"/>
      <w:r>
        <w:t xml:space="preserve">Counsel </w:t>
      </w:r>
      <w:r w:rsidR="003A777F">
        <w:t>are</w:t>
      </w:r>
      <w:proofErr w:type="gramEnd"/>
      <w:r w:rsidR="00233A0B" w:rsidRPr="00E23885">
        <w:t xml:space="preserve"> permitted to participate </w:t>
      </w:r>
      <w:r w:rsidR="00A84160">
        <w:t xml:space="preserve">in hearings by telephone </w:t>
      </w:r>
      <w:r w:rsidR="00B13624">
        <w:t>without prior</w:t>
      </w:r>
      <w:r w:rsidR="00233A0B" w:rsidRPr="00E23885">
        <w:t xml:space="preserve"> permission </w:t>
      </w:r>
      <w:r w:rsidR="00B72F59">
        <w:t>of the Court.</w:t>
      </w:r>
    </w:p>
    <w:p w:rsidR="005D24AD" w:rsidRDefault="005D24AD" w:rsidP="005D24AD">
      <w:pPr>
        <w:pStyle w:val="Default"/>
        <w:ind w:left="720"/>
        <w:jc w:val="both"/>
      </w:pPr>
    </w:p>
    <w:p w:rsidR="0059568F" w:rsidRDefault="00DD0E05" w:rsidP="00E67A2F">
      <w:pPr>
        <w:pStyle w:val="Default"/>
        <w:numPr>
          <w:ilvl w:val="1"/>
          <w:numId w:val="4"/>
        </w:numPr>
        <w:jc w:val="both"/>
      </w:pPr>
      <w:r>
        <w:t>No speakerphones</w:t>
      </w:r>
      <w:r w:rsidR="005D24AD">
        <w:t>.</w:t>
      </w:r>
      <w:r w:rsidR="00B72F59">
        <w:t xml:space="preserve"> </w:t>
      </w:r>
      <w:r w:rsidR="0059568F">
        <w:t xml:space="preserve">  </w:t>
      </w:r>
    </w:p>
    <w:p w:rsidR="006C536C" w:rsidRDefault="006C536C" w:rsidP="006C536C">
      <w:pPr>
        <w:pStyle w:val="Default"/>
        <w:ind w:left="720"/>
        <w:jc w:val="both"/>
      </w:pPr>
    </w:p>
    <w:p w:rsidR="006C536C" w:rsidRDefault="00233A0B" w:rsidP="00E67A2F">
      <w:pPr>
        <w:pStyle w:val="Default"/>
        <w:numPr>
          <w:ilvl w:val="1"/>
          <w:numId w:val="4"/>
        </w:numPr>
        <w:jc w:val="both"/>
      </w:pPr>
      <w:r w:rsidRPr="00E23885">
        <w:t xml:space="preserve">Witnesses may </w:t>
      </w:r>
      <w:r w:rsidRPr="003B4FB5">
        <w:rPr>
          <w:u w:val="single"/>
        </w:rPr>
        <w:t>not</w:t>
      </w:r>
      <w:r w:rsidRPr="00E23885">
        <w:t xml:space="preserve"> be examined </w:t>
      </w:r>
      <w:r w:rsidR="0059568F">
        <w:t xml:space="preserve">nor evidence offered </w:t>
      </w:r>
      <w:r w:rsidRPr="00E23885">
        <w:t xml:space="preserve">by telephone, except in emergency situations </w:t>
      </w:r>
      <w:r w:rsidR="00941F46">
        <w:t>in which</w:t>
      </w:r>
      <w:r w:rsidRPr="00E23885">
        <w:t xml:space="preserve"> the Court determines</w:t>
      </w:r>
      <w:r w:rsidR="003B4FB5">
        <w:t xml:space="preserve"> </w:t>
      </w:r>
      <w:r w:rsidR="001B1AAD">
        <w:t xml:space="preserve">sufficient </w:t>
      </w:r>
      <w:r w:rsidR="003B4FB5">
        <w:t>cause</w:t>
      </w:r>
      <w:r w:rsidR="00941F46">
        <w:t xml:space="preserve"> exists</w:t>
      </w:r>
      <w:r w:rsidRPr="00E23885">
        <w:t xml:space="preserve"> to waive th</w:t>
      </w:r>
      <w:r w:rsidR="00941F46">
        <w:t>e</w:t>
      </w:r>
      <w:r w:rsidRPr="00E23885">
        <w:t xml:space="preserve"> prohibition. </w:t>
      </w:r>
    </w:p>
    <w:p w:rsidR="006C536C" w:rsidRDefault="006C536C" w:rsidP="006C536C">
      <w:pPr>
        <w:pStyle w:val="Default"/>
        <w:jc w:val="both"/>
      </w:pPr>
    </w:p>
    <w:p w:rsidR="00752A17" w:rsidRDefault="00641DE5" w:rsidP="00E67A2F">
      <w:pPr>
        <w:pStyle w:val="Default"/>
        <w:numPr>
          <w:ilvl w:val="1"/>
          <w:numId w:val="4"/>
        </w:numPr>
        <w:jc w:val="both"/>
      </w:pPr>
      <w:r w:rsidRPr="00641DE5">
        <w:rPr>
          <w:b/>
        </w:rPr>
        <w:t>The Court’s dial-in line is live</w:t>
      </w:r>
      <w:r>
        <w:t xml:space="preserve">. </w:t>
      </w:r>
      <w:r w:rsidR="0085079D">
        <w:t xml:space="preserve"> Do not use a speakerphone when addressing the court because it causes feedback.</w:t>
      </w:r>
      <w:r>
        <w:t xml:space="preserve"> </w:t>
      </w:r>
      <w:r w:rsidR="0085079D">
        <w:t xml:space="preserve"> When not speaking, parties should </w:t>
      </w:r>
      <w:r w:rsidR="0085079D" w:rsidRPr="0085079D">
        <w:rPr>
          <w:b/>
          <w:u w:val="single"/>
        </w:rPr>
        <w:t>mute</w:t>
      </w:r>
      <w:r w:rsidR="0085079D">
        <w:t xml:space="preserve"> the line.  </w:t>
      </w:r>
      <w:r w:rsidR="00233A0B" w:rsidRPr="00E23885">
        <w:t>Partie</w:t>
      </w:r>
      <w:r w:rsidR="00981867">
        <w:t xml:space="preserve">s participating by phone </w:t>
      </w:r>
      <w:r w:rsidR="00233A0B" w:rsidRPr="00E23885">
        <w:t>must assure that no background noise is transmitted</w:t>
      </w:r>
      <w:r w:rsidR="00C57577">
        <w:t>, including music</w:t>
      </w:r>
      <w:r w:rsidR="0085079D">
        <w:t>, typing</w:t>
      </w:r>
      <w:r w:rsidR="00C57577">
        <w:t xml:space="preserve"> and third-party conversations</w:t>
      </w:r>
      <w:r w:rsidR="0085079D">
        <w:t>, etc.</w:t>
      </w:r>
      <w:r w:rsidR="00233A0B" w:rsidRPr="00E23885">
        <w:t xml:space="preserve"> </w:t>
      </w:r>
      <w:r w:rsidR="003A777F">
        <w:t xml:space="preserve"> </w:t>
      </w:r>
      <w:r w:rsidR="00981867">
        <w:t xml:space="preserve">  </w:t>
      </w:r>
      <w:r w:rsidR="00233A0B" w:rsidRPr="00000CA0">
        <w:rPr>
          <w:b/>
          <w:bCs/>
        </w:rPr>
        <w:t>P</w:t>
      </w:r>
      <w:r w:rsidR="00233A0B" w:rsidRPr="00000CA0">
        <w:rPr>
          <w:b/>
        </w:rPr>
        <w:t>ersons choosing to attend a hearing by dial-in do so at their own risk of a technological failure</w:t>
      </w:r>
      <w:r w:rsidR="00233A0B" w:rsidRPr="00E23885">
        <w:t xml:space="preserve">. </w:t>
      </w:r>
    </w:p>
    <w:p w:rsidR="00293464" w:rsidRDefault="00293464" w:rsidP="00293464">
      <w:pPr>
        <w:pStyle w:val="Default"/>
        <w:jc w:val="both"/>
      </w:pPr>
    </w:p>
    <w:p w:rsidR="00233A0B" w:rsidRPr="00A822C3" w:rsidRDefault="00233A0B" w:rsidP="00E67A2F">
      <w:pPr>
        <w:pStyle w:val="Default"/>
        <w:numPr>
          <w:ilvl w:val="1"/>
          <w:numId w:val="4"/>
        </w:numPr>
        <w:jc w:val="both"/>
      </w:pPr>
      <w:r w:rsidRPr="00E23885">
        <w:t xml:space="preserve">The following dial-in </w:t>
      </w:r>
      <w:r w:rsidR="00A822C3">
        <w:t>instructions should be used:</w:t>
      </w:r>
      <w:r w:rsidRPr="00E23885">
        <w:t xml:space="preserve"> </w:t>
      </w:r>
    </w:p>
    <w:p w:rsidR="003A777F" w:rsidRPr="00E23885" w:rsidRDefault="003A777F" w:rsidP="00E23885">
      <w:pPr>
        <w:pStyle w:val="Default"/>
        <w:jc w:val="both"/>
      </w:pPr>
    </w:p>
    <w:p w:rsidR="00DC094D" w:rsidRDefault="00233A0B" w:rsidP="0059568F">
      <w:pPr>
        <w:pStyle w:val="Default"/>
        <w:ind w:left="1080"/>
        <w:jc w:val="both"/>
      </w:pPr>
      <w:r w:rsidRPr="00E23885">
        <w:t xml:space="preserve">The dial-in number is </w:t>
      </w:r>
      <w:r w:rsidR="00A822C3" w:rsidRPr="00A822C3">
        <w:rPr>
          <w:b/>
        </w:rPr>
        <w:t>1-712</w:t>
      </w:r>
      <w:r w:rsidRPr="00A822C3">
        <w:rPr>
          <w:b/>
        </w:rPr>
        <w:t>-</w:t>
      </w:r>
      <w:r w:rsidR="008C6E2B">
        <w:rPr>
          <w:b/>
        </w:rPr>
        <w:t>432-3100</w:t>
      </w:r>
      <w:r w:rsidRPr="00C0110A">
        <w:t>.</w:t>
      </w:r>
      <w:r w:rsidRPr="00E23885">
        <w:t xml:space="preserve"> You will be responsible for your own long-distance charges. This dial-in number is utilized </w:t>
      </w:r>
      <w:r w:rsidR="00000CA0">
        <w:t>regardless of the location at which Judge Jones is conducting court</w:t>
      </w:r>
      <w:r w:rsidRPr="00E23885">
        <w:t xml:space="preserve">. </w:t>
      </w:r>
      <w:r w:rsidR="00451D62">
        <w:t xml:space="preserve">  </w:t>
      </w:r>
      <w:r w:rsidRPr="00E23885">
        <w:t xml:space="preserve">You will be asked to key in the conference room number. </w:t>
      </w:r>
      <w:r w:rsidR="006B05EE">
        <w:t xml:space="preserve"> </w:t>
      </w:r>
      <w:r w:rsidRPr="00E23885">
        <w:t xml:space="preserve">Judge </w:t>
      </w:r>
      <w:r w:rsidR="00404C6D" w:rsidRPr="00E23885">
        <w:t>Jones</w:t>
      </w:r>
      <w:r w:rsidRPr="00E23885">
        <w:t xml:space="preserve">’ conference room number is </w:t>
      </w:r>
      <w:r w:rsidR="00A822C3">
        <w:rPr>
          <w:b/>
        </w:rPr>
        <w:t>692273</w:t>
      </w:r>
      <w:r w:rsidRPr="00C0110A">
        <w:t>.</w:t>
      </w:r>
      <w:r w:rsidRPr="00E23885">
        <w:t xml:space="preserve"> </w:t>
      </w:r>
      <w:r w:rsidR="00451D62">
        <w:t xml:space="preserve"> </w:t>
      </w:r>
    </w:p>
    <w:p w:rsidR="00DC094D" w:rsidRDefault="00DC094D" w:rsidP="0059568F">
      <w:pPr>
        <w:pStyle w:val="Default"/>
        <w:ind w:left="1080"/>
        <w:jc w:val="both"/>
      </w:pPr>
    </w:p>
    <w:p w:rsidR="00233A0B" w:rsidRDefault="00451D62" w:rsidP="00A822C3">
      <w:pPr>
        <w:pStyle w:val="Default"/>
        <w:ind w:left="1080"/>
        <w:jc w:val="both"/>
      </w:pPr>
      <w:r>
        <w:t xml:space="preserve">Once </w:t>
      </w:r>
      <w:r w:rsidR="00000CA0">
        <w:t>the code is entered</w:t>
      </w:r>
      <w:r>
        <w:t xml:space="preserve">, you will be connected </w:t>
      </w:r>
      <w:r w:rsidRPr="00DA520E">
        <w:rPr>
          <w:b/>
          <w:u w:val="single"/>
        </w:rPr>
        <w:t>live</w:t>
      </w:r>
      <w:r>
        <w:t xml:space="preserve"> to the courtroom.</w:t>
      </w:r>
      <w:r w:rsidR="00A822C3">
        <w:t xml:space="preserve">  </w:t>
      </w:r>
      <w:r w:rsidR="00000CA0">
        <w:t>Y</w:t>
      </w:r>
      <w:r w:rsidR="00233A0B" w:rsidRPr="00E23885">
        <w:t>ou will be able to hear persons speaking in the courtroom and other persons on the call addressing the Court. You will be able to address the Court</w:t>
      </w:r>
      <w:r w:rsidR="00DA520E">
        <w:t xml:space="preserve"> directly.  The Court will hear all sound on your line.  </w:t>
      </w:r>
      <w:r w:rsidR="00DD0E05">
        <w:t>Mute your line if you are not addressing the Court.</w:t>
      </w:r>
    </w:p>
    <w:p w:rsidR="00147BB9" w:rsidRDefault="00147BB9" w:rsidP="00A822C3">
      <w:pPr>
        <w:pStyle w:val="Default"/>
        <w:ind w:left="1080"/>
        <w:jc w:val="both"/>
      </w:pPr>
    </w:p>
    <w:p w:rsidR="00147BB9" w:rsidRDefault="00147BB9" w:rsidP="00147BB9">
      <w:pPr>
        <w:pStyle w:val="Default"/>
        <w:ind w:left="1080"/>
        <w:jc w:val="both"/>
      </w:pPr>
      <w:r>
        <w:t xml:space="preserve">If there are multiple parties on the call, the Court may activate the “hand raise” feature.  The </w:t>
      </w:r>
      <w:r w:rsidR="00000CA0">
        <w:t xml:space="preserve">system </w:t>
      </w:r>
      <w:r>
        <w:t xml:space="preserve">will announce that this feature has been activated.  If the </w:t>
      </w:r>
      <w:r w:rsidR="00A84160">
        <w:t>h</w:t>
      </w:r>
      <w:r>
        <w:t xml:space="preserve">and raise feature has been activated, you </w:t>
      </w:r>
      <w:r w:rsidRPr="00E23885">
        <w:t xml:space="preserve">will </w:t>
      </w:r>
      <w:r w:rsidRPr="00E23885">
        <w:rPr>
          <w:u w:val="single"/>
        </w:rPr>
        <w:t>not</w:t>
      </w:r>
      <w:r w:rsidRPr="00E23885">
        <w:t xml:space="preserve"> be able to address the Court until the Court addresses you or </w:t>
      </w:r>
      <w:proofErr w:type="spellStart"/>
      <w:r w:rsidRPr="00E23885">
        <w:t>you</w:t>
      </w:r>
      <w:proofErr w:type="spellEnd"/>
      <w:r w:rsidRPr="00E23885">
        <w:t xml:space="preserve"> request to speak and the Court grants the request.  If you wish to address the Court, you must press </w:t>
      </w:r>
      <w:r>
        <w:t>5*</w:t>
      </w:r>
      <w:r w:rsidRPr="00E23885">
        <w:t xml:space="preserve">. Within </w:t>
      </w:r>
      <w:r>
        <w:t>5</w:t>
      </w:r>
      <w:r w:rsidRPr="00E23885">
        <w:t xml:space="preserve"> seconds, the Court will receive a signal that you wish to speak. When the Court calls on you, you will hear a recorded message that you have been recognized. When you are done, the Court will again mute your call. </w:t>
      </w:r>
    </w:p>
    <w:p w:rsidR="00147BB9" w:rsidRDefault="00147BB9" w:rsidP="00147BB9">
      <w:pPr>
        <w:pStyle w:val="Default"/>
        <w:ind w:left="1080"/>
        <w:jc w:val="both"/>
      </w:pPr>
    </w:p>
    <w:p w:rsidR="00147BB9" w:rsidRDefault="00147BB9" w:rsidP="00147BB9">
      <w:pPr>
        <w:pStyle w:val="Default"/>
        <w:ind w:left="1080"/>
        <w:jc w:val="both"/>
        <w:rPr>
          <w:rStyle w:val="Hyperlink"/>
        </w:rPr>
      </w:pPr>
      <w:r>
        <w:t xml:space="preserve">Details regarding the use of the Free Conference Calling conferencing system are available at </w:t>
      </w:r>
      <w:hyperlink r:id="rId9" w:history="1">
        <w:r w:rsidRPr="008A702E">
          <w:rPr>
            <w:rStyle w:val="Hyperlink"/>
          </w:rPr>
          <w:t>http://www.freeconferencecalling.com</w:t>
        </w:r>
      </w:hyperlink>
      <w:r w:rsidR="00753183">
        <w:rPr>
          <w:rStyle w:val="Hyperlink"/>
        </w:rPr>
        <w:t>.</w:t>
      </w:r>
    </w:p>
    <w:p w:rsidR="00753183" w:rsidRDefault="00753183" w:rsidP="00147BB9">
      <w:pPr>
        <w:pStyle w:val="Default"/>
        <w:ind w:left="1080"/>
        <w:jc w:val="both"/>
        <w:rPr>
          <w:rStyle w:val="Hyperlink"/>
        </w:rPr>
      </w:pPr>
    </w:p>
    <w:p w:rsidR="00753183" w:rsidRDefault="00753183" w:rsidP="00753183">
      <w:pPr>
        <w:pStyle w:val="IsgurLevel2"/>
        <w:numPr>
          <w:ilvl w:val="1"/>
          <w:numId w:val="4"/>
        </w:numPr>
        <w:spacing w:line="240" w:lineRule="auto"/>
      </w:pPr>
      <w:r>
        <w:t xml:space="preserve">Telephonic participants may connect on-line to view the Court’s broadcast onto the courtroom’s television monitors.  This procedure will not show any broadcast made by a party.  To view on-line, you may connect through the website located at </w:t>
      </w:r>
      <w:hyperlink r:id="rId10" w:history="1">
        <w:r w:rsidRPr="00E815A4">
          <w:rPr>
            <w:rStyle w:val="Hyperlink"/>
          </w:rPr>
          <w:t>https://www.join.me</w:t>
        </w:r>
      </w:hyperlink>
      <w:r>
        <w:t>.  Click on “Join Meeting”.  The code for the meeting is “</w:t>
      </w:r>
      <w:proofErr w:type="spellStart"/>
      <w:r>
        <w:t>judgejones</w:t>
      </w:r>
      <w:proofErr w:type="spellEnd"/>
      <w:r>
        <w:t>”.  If you are attempting to view the broadcast on a</w:t>
      </w:r>
      <w:r w:rsidR="00B93762">
        <w:t xml:space="preserve"> tablet, smartphone </w:t>
      </w:r>
      <w:r>
        <w:t>or similar device, you may be required to download a free app from the website.</w:t>
      </w:r>
    </w:p>
    <w:p w:rsidR="00147BB9" w:rsidRDefault="00147BB9" w:rsidP="00A822C3">
      <w:pPr>
        <w:pStyle w:val="Default"/>
        <w:ind w:left="1080"/>
        <w:jc w:val="both"/>
      </w:pPr>
    </w:p>
    <w:p w:rsidR="00233A0B" w:rsidRPr="00A74993" w:rsidRDefault="000161E1" w:rsidP="00753183">
      <w:pPr>
        <w:pStyle w:val="Default"/>
        <w:numPr>
          <w:ilvl w:val="0"/>
          <w:numId w:val="4"/>
        </w:numPr>
        <w:jc w:val="both"/>
        <w:rPr>
          <w:b/>
          <w:color w:val="auto"/>
          <w:u w:val="single"/>
        </w:rPr>
      </w:pPr>
      <w:r w:rsidRPr="00A74993">
        <w:rPr>
          <w:b/>
          <w:bCs/>
          <w:color w:val="auto"/>
          <w:u w:val="single"/>
        </w:rPr>
        <w:t>Discovery Disputes</w:t>
      </w:r>
      <w:r w:rsidR="00A74993" w:rsidRPr="00D670B4">
        <w:rPr>
          <w:b/>
          <w:bCs/>
          <w:color w:val="auto"/>
        </w:rPr>
        <w:t>.</w:t>
      </w:r>
      <w:r w:rsidR="00233A0B" w:rsidRPr="00A74993">
        <w:rPr>
          <w:b/>
          <w:bCs/>
          <w:color w:val="auto"/>
          <w:u w:val="single"/>
        </w:rPr>
        <w:t xml:space="preserve"> </w:t>
      </w:r>
    </w:p>
    <w:p w:rsidR="00233A0B" w:rsidRPr="00E23885" w:rsidRDefault="00233A0B" w:rsidP="00E23885">
      <w:pPr>
        <w:pStyle w:val="Default"/>
        <w:jc w:val="both"/>
        <w:rPr>
          <w:color w:val="auto"/>
        </w:rPr>
      </w:pPr>
    </w:p>
    <w:p w:rsidR="000161E1" w:rsidRDefault="00233A0B" w:rsidP="00D670B4">
      <w:pPr>
        <w:pStyle w:val="Default"/>
        <w:ind w:left="360"/>
        <w:jc w:val="both"/>
        <w:rPr>
          <w:color w:val="auto"/>
        </w:rPr>
      </w:pPr>
      <w:r w:rsidRPr="00E23885">
        <w:rPr>
          <w:color w:val="auto"/>
        </w:rPr>
        <w:t>Discovery disputes that cannot be resolved between the parties should ordinarily be submitted by written motion. However, if a dispute arises during an oral deposition</w:t>
      </w:r>
      <w:r w:rsidR="00000CA0">
        <w:rPr>
          <w:color w:val="auto"/>
        </w:rPr>
        <w:t xml:space="preserve"> or Rule 2004 examination</w:t>
      </w:r>
      <w:r w:rsidRPr="00E23885">
        <w:rPr>
          <w:color w:val="auto"/>
        </w:rPr>
        <w:t>, a party may contact the Court</w:t>
      </w:r>
      <w:r w:rsidR="00D670B4">
        <w:rPr>
          <w:color w:val="auto"/>
        </w:rPr>
        <w:t>’</w:t>
      </w:r>
      <w:r w:rsidRPr="00E23885">
        <w:rPr>
          <w:color w:val="auto"/>
        </w:rPr>
        <w:t xml:space="preserve">s case manager during the </w:t>
      </w:r>
      <w:r w:rsidR="00000CA0">
        <w:rPr>
          <w:color w:val="auto"/>
        </w:rPr>
        <w:t>questioning</w:t>
      </w:r>
      <w:r w:rsidRPr="00E23885">
        <w:rPr>
          <w:color w:val="auto"/>
        </w:rPr>
        <w:t xml:space="preserve"> and request a telephonic hearing with the Court. </w:t>
      </w:r>
      <w:r w:rsidR="000161E1">
        <w:rPr>
          <w:color w:val="auto"/>
        </w:rPr>
        <w:t xml:space="preserve"> </w:t>
      </w:r>
    </w:p>
    <w:p w:rsidR="00404C6D" w:rsidRPr="00715CE3" w:rsidRDefault="00404C6D" w:rsidP="00E67A2F">
      <w:pPr>
        <w:pStyle w:val="Default"/>
        <w:numPr>
          <w:ilvl w:val="0"/>
          <w:numId w:val="2"/>
        </w:numPr>
        <w:ind w:left="360" w:hanging="360"/>
        <w:jc w:val="both"/>
        <w:rPr>
          <w:b/>
          <w:color w:val="auto"/>
        </w:rPr>
      </w:pPr>
    </w:p>
    <w:p w:rsidR="00F71AAD" w:rsidRPr="00A74993" w:rsidRDefault="000161E1" w:rsidP="00753183">
      <w:pPr>
        <w:pStyle w:val="Default"/>
        <w:keepNext/>
        <w:keepLines/>
        <w:numPr>
          <w:ilvl w:val="0"/>
          <w:numId w:val="4"/>
        </w:numPr>
        <w:jc w:val="both"/>
        <w:rPr>
          <w:color w:val="auto"/>
          <w:u w:val="single"/>
        </w:rPr>
      </w:pPr>
      <w:r w:rsidRPr="00A74993">
        <w:rPr>
          <w:b/>
          <w:bCs/>
          <w:color w:val="auto"/>
          <w:u w:val="single"/>
        </w:rPr>
        <w:t>Settlements</w:t>
      </w:r>
      <w:r w:rsidR="00A74993" w:rsidRPr="00D670B4">
        <w:rPr>
          <w:bCs/>
          <w:color w:val="auto"/>
        </w:rPr>
        <w:t>.</w:t>
      </w:r>
    </w:p>
    <w:p w:rsidR="00F71AAD" w:rsidRPr="00F71AAD" w:rsidRDefault="00F71AAD" w:rsidP="00BB19F9">
      <w:pPr>
        <w:pStyle w:val="Default"/>
        <w:keepNext/>
        <w:keepLines/>
        <w:ind w:left="360"/>
        <w:jc w:val="both"/>
        <w:rPr>
          <w:color w:val="auto"/>
        </w:rPr>
      </w:pPr>
    </w:p>
    <w:p w:rsidR="00F71AAD" w:rsidRDefault="00233A0B" w:rsidP="00753183">
      <w:pPr>
        <w:pStyle w:val="Default"/>
        <w:keepNext/>
        <w:keepLines/>
        <w:numPr>
          <w:ilvl w:val="1"/>
          <w:numId w:val="4"/>
        </w:numPr>
        <w:jc w:val="both"/>
        <w:rPr>
          <w:color w:val="auto"/>
        </w:rPr>
      </w:pPr>
      <w:r w:rsidRPr="00F71AAD">
        <w:rPr>
          <w:color w:val="auto"/>
        </w:rPr>
        <w:t xml:space="preserve">If a </w:t>
      </w:r>
      <w:r w:rsidR="00EE1988" w:rsidRPr="00F71AAD">
        <w:rPr>
          <w:color w:val="auto"/>
        </w:rPr>
        <w:t>matter</w:t>
      </w:r>
      <w:r w:rsidRPr="00F71AAD">
        <w:rPr>
          <w:color w:val="auto"/>
        </w:rPr>
        <w:t xml:space="preserve"> is settled, </w:t>
      </w:r>
      <w:r w:rsidR="00EE1988" w:rsidRPr="00F71AAD">
        <w:rPr>
          <w:color w:val="auto"/>
        </w:rPr>
        <w:t xml:space="preserve">please </w:t>
      </w:r>
      <w:r w:rsidR="00404C6D" w:rsidRPr="00F71AAD">
        <w:rPr>
          <w:color w:val="auto"/>
        </w:rPr>
        <w:t xml:space="preserve">immediately </w:t>
      </w:r>
      <w:r w:rsidRPr="00F71AAD">
        <w:rPr>
          <w:color w:val="auto"/>
        </w:rPr>
        <w:t>contact the Court</w:t>
      </w:r>
      <w:r w:rsidR="00D670B4">
        <w:rPr>
          <w:color w:val="auto"/>
        </w:rPr>
        <w:t>’</w:t>
      </w:r>
      <w:r w:rsidRPr="00F71AAD">
        <w:rPr>
          <w:color w:val="auto"/>
        </w:rPr>
        <w:t>s case manager</w:t>
      </w:r>
      <w:r w:rsidR="00EE1988" w:rsidRPr="00F71AAD">
        <w:rPr>
          <w:color w:val="auto"/>
        </w:rPr>
        <w:t xml:space="preserve"> so that the Court may </w:t>
      </w:r>
      <w:r w:rsidR="00A84160">
        <w:rPr>
          <w:color w:val="auto"/>
        </w:rPr>
        <w:t>re</w:t>
      </w:r>
      <w:r w:rsidR="00EE1988" w:rsidRPr="00F71AAD">
        <w:rPr>
          <w:color w:val="auto"/>
        </w:rPr>
        <w:t xml:space="preserve">adjust </w:t>
      </w:r>
      <w:r w:rsidR="00147BB9">
        <w:rPr>
          <w:color w:val="auto"/>
        </w:rPr>
        <w:t xml:space="preserve">court </w:t>
      </w:r>
      <w:r w:rsidR="00EE1988" w:rsidRPr="00F71AAD">
        <w:rPr>
          <w:color w:val="auto"/>
        </w:rPr>
        <w:t>resources accordingly</w:t>
      </w:r>
      <w:r w:rsidRPr="00F71AAD">
        <w:rPr>
          <w:color w:val="auto"/>
        </w:rPr>
        <w:t xml:space="preserve">. </w:t>
      </w:r>
    </w:p>
    <w:p w:rsidR="00F71AAD" w:rsidRDefault="00F71AAD" w:rsidP="00F71AAD">
      <w:pPr>
        <w:pStyle w:val="Default"/>
        <w:ind w:left="720"/>
        <w:jc w:val="both"/>
        <w:rPr>
          <w:color w:val="auto"/>
        </w:rPr>
      </w:pPr>
    </w:p>
    <w:p w:rsidR="00F71AAD" w:rsidRDefault="00715CE3" w:rsidP="00753183">
      <w:pPr>
        <w:pStyle w:val="Default"/>
        <w:numPr>
          <w:ilvl w:val="1"/>
          <w:numId w:val="4"/>
        </w:numPr>
        <w:jc w:val="both"/>
        <w:rPr>
          <w:color w:val="auto"/>
        </w:rPr>
      </w:pPr>
      <w:r w:rsidRPr="00F71AAD">
        <w:rPr>
          <w:color w:val="auto"/>
        </w:rPr>
        <w:t>If reduced to writing</w:t>
      </w:r>
      <w:r w:rsidR="00EE1988" w:rsidRPr="00F71AAD">
        <w:rPr>
          <w:color w:val="auto"/>
        </w:rPr>
        <w:t xml:space="preserve"> </w:t>
      </w:r>
      <w:r w:rsidR="00BB19F9">
        <w:rPr>
          <w:color w:val="auto"/>
        </w:rPr>
        <w:t xml:space="preserve">and signed by all parties </w:t>
      </w:r>
      <w:r w:rsidR="00EE1988" w:rsidRPr="00F71AAD">
        <w:rPr>
          <w:color w:val="auto"/>
        </w:rPr>
        <w:t>prior to a scheduled hearing</w:t>
      </w:r>
      <w:r w:rsidR="00D670B4">
        <w:rPr>
          <w:color w:val="auto"/>
        </w:rPr>
        <w:t>/trial</w:t>
      </w:r>
      <w:r w:rsidRPr="00F71AAD">
        <w:rPr>
          <w:color w:val="auto"/>
        </w:rPr>
        <w:t xml:space="preserve">, </w:t>
      </w:r>
      <w:r w:rsidR="00BB19F9">
        <w:rPr>
          <w:color w:val="auto"/>
        </w:rPr>
        <w:t>a</w:t>
      </w:r>
      <w:r w:rsidR="00233A0B" w:rsidRPr="00F71AAD">
        <w:rPr>
          <w:color w:val="auto"/>
        </w:rPr>
        <w:t xml:space="preserve"> proposed settlement should </w:t>
      </w:r>
      <w:r w:rsidR="00D670B4">
        <w:rPr>
          <w:color w:val="auto"/>
        </w:rPr>
        <w:t xml:space="preserve">be </w:t>
      </w:r>
      <w:r w:rsidR="00BB19F9">
        <w:rPr>
          <w:color w:val="auto"/>
        </w:rPr>
        <w:t>filed with the Clerk of the Court</w:t>
      </w:r>
      <w:r w:rsidR="00233A0B" w:rsidRPr="00F71AAD">
        <w:rPr>
          <w:color w:val="auto"/>
        </w:rPr>
        <w:t xml:space="preserve">. If the proposed settlement has been </w:t>
      </w:r>
      <w:r w:rsidR="00BB19F9">
        <w:rPr>
          <w:color w:val="auto"/>
        </w:rPr>
        <w:t>filed</w:t>
      </w:r>
      <w:r w:rsidR="00233A0B" w:rsidRPr="00F71AAD">
        <w:rPr>
          <w:color w:val="auto"/>
        </w:rPr>
        <w:t xml:space="preserve">, then only one counsel is required to attend the </w:t>
      </w:r>
      <w:r w:rsidR="00BB19F9">
        <w:rPr>
          <w:color w:val="auto"/>
        </w:rPr>
        <w:t xml:space="preserve">scheduled </w:t>
      </w:r>
      <w:r w:rsidR="00233A0B" w:rsidRPr="00F71AAD">
        <w:rPr>
          <w:color w:val="auto"/>
        </w:rPr>
        <w:t>hearing</w:t>
      </w:r>
      <w:r w:rsidR="00D670B4">
        <w:rPr>
          <w:color w:val="auto"/>
        </w:rPr>
        <w:t>/trial</w:t>
      </w:r>
      <w:r w:rsidR="00233A0B" w:rsidRPr="00F71AAD">
        <w:rPr>
          <w:color w:val="auto"/>
        </w:rPr>
        <w:t xml:space="preserve">, though all interested parties are invited to attend. </w:t>
      </w:r>
      <w:r w:rsidR="00D670B4">
        <w:rPr>
          <w:color w:val="auto"/>
        </w:rPr>
        <w:t xml:space="preserve"> If one or more of the parties are acting </w:t>
      </w:r>
      <w:r w:rsidR="00D670B4" w:rsidRPr="00147BB9">
        <w:rPr>
          <w:i/>
          <w:color w:val="auto"/>
        </w:rPr>
        <w:t>pro se</w:t>
      </w:r>
      <w:r w:rsidR="00D670B4">
        <w:rPr>
          <w:color w:val="auto"/>
        </w:rPr>
        <w:t xml:space="preserve">, then all parties must attend the scheduled </w:t>
      </w:r>
      <w:r w:rsidR="00D670B4" w:rsidRPr="00F71AAD">
        <w:rPr>
          <w:color w:val="auto"/>
        </w:rPr>
        <w:t>hearing</w:t>
      </w:r>
      <w:r w:rsidR="00D670B4">
        <w:rPr>
          <w:color w:val="auto"/>
        </w:rPr>
        <w:t>/trial even if a written settlement has been filed.</w:t>
      </w:r>
    </w:p>
    <w:p w:rsidR="00BB19F9" w:rsidRDefault="00BB19F9" w:rsidP="00BB19F9">
      <w:pPr>
        <w:pStyle w:val="ListParagraph"/>
        <w:spacing w:after="0" w:line="240" w:lineRule="auto"/>
      </w:pPr>
    </w:p>
    <w:p w:rsidR="00BB19F9" w:rsidRDefault="00BB19F9" w:rsidP="00753183">
      <w:pPr>
        <w:pStyle w:val="Default"/>
        <w:numPr>
          <w:ilvl w:val="1"/>
          <w:numId w:val="4"/>
        </w:numPr>
        <w:jc w:val="both"/>
        <w:rPr>
          <w:color w:val="auto"/>
        </w:rPr>
      </w:pPr>
      <w:r w:rsidRPr="00F71AAD">
        <w:rPr>
          <w:color w:val="auto"/>
        </w:rPr>
        <w:t xml:space="preserve">If </w:t>
      </w:r>
      <w:r>
        <w:rPr>
          <w:color w:val="auto"/>
        </w:rPr>
        <w:t xml:space="preserve">a proposed settlement has not been </w:t>
      </w:r>
      <w:r w:rsidRPr="00F71AAD">
        <w:rPr>
          <w:color w:val="auto"/>
        </w:rPr>
        <w:t xml:space="preserve">reduced to writing </w:t>
      </w:r>
      <w:r>
        <w:rPr>
          <w:color w:val="auto"/>
        </w:rPr>
        <w:t xml:space="preserve">and signed by all parties </w:t>
      </w:r>
      <w:r w:rsidRPr="00F71AAD">
        <w:rPr>
          <w:color w:val="auto"/>
        </w:rPr>
        <w:t xml:space="preserve">prior to a scheduled hearing, </w:t>
      </w:r>
      <w:r>
        <w:rPr>
          <w:color w:val="auto"/>
        </w:rPr>
        <w:t>all parties must appear and announce the terms of the settlement into the record</w:t>
      </w:r>
      <w:r w:rsidRPr="00F71AAD">
        <w:rPr>
          <w:color w:val="auto"/>
        </w:rPr>
        <w:t xml:space="preserve">. </w:t>
      </w:r>
      <w:r w:rsidR="00000CA0">
        <w:rPr>
          <w:color w:val="auto"/>
        </w:rPr>
        <w:t xml:space="preserve"> Once the terms of a settlement are announced, the Court will consider the parties bound by the agreement subject only to court approval as required. </w:t>
      </w:r>
    </w:p>
    <w:p w:rsidR="00F71AAD" w:rsidRDefault="00F71AAD" w:rsidP="00F71AAD">
      <w:pPr>
        <w:pStyle w:val="Default"/>
        <w:ind w:left="720"/>
        <w:jc w:val="both"/>
        <w:rPr>
          <w:color w:val="auto"/>
        </w:rPr>
      </w:pPr>
    </w:p>
    <w:p w:rsidR="00233A0B" w:rsidRPr="00F71AAD" w:rsidRDefault="00233A0B" w:rsidP="00753183">
      <w:pPr>
        <w:pStyle w:val="Default"/>
        <w:numPr>
          <w:ilvl w:val="1"/>
          <w:numId w:val="4"/>
        </w:numPr>
        <w:jc w:val="both"/>
        <w:rPr>
          <w:color w:val="auto"/>
        </w:rPr>
      </w:pPr>
      <w:r w:rsidRPr="00F71AAD">
        <w:rPr>
          <w:color w:val="auto"/>
        </w:rPr>
        <w:t xml:space="preserve">If a settlement requires approval pursuant to Federal Rule of Bankruptcy Procedure 9019, </w:t>
      </w:r>
      <w:r w:rsidR="00BB19F9" w:rsidRPr="00147BB9">
        <w:rPr>
          <w:b/>
          <w:color w:val="auto"/>
        </w:rPr>
        <w:t xml:space="preserve">a </w:t>
      </w:r>
      <w:r w:rsidRPr="00147BB9">
        <w:rPr>
          <w:b/>
          <w:color w:val="auto"/>
        </w:rPr>
        <w:t xml:space="preserve">motion </w:t>
      </w:r>
      <w:r w:rsidR="00BB19F9" w:rsidRPr="00147BB9">
        <w:rPr>
          <w:b/>
          <w:color w:val="auto"/>
        </w:rPr>
        <w:t xml:space="preserve">seeking approval of the settlement </w:t>
      </w:r>
      <w:r w:rsidRPr="00147BB9">
        <w:rPr>
          <w:b/>
          <w:color w:val="auto"/>
        </w:rPr>
        <w:t xml:space="preserve">should be filed in the main </w:t>
      </w:r>
      <w:r w:rsidR="00BB19F9" w:rsidRPr="00147BB9">
        <w:rPr>
          <w:b/>
          <w:color w:val="auto"/>
        </w:rPr>
        <w:t xml:space="preserve">bankruptcy </w:t>
      </w:r>
      <w:r w:rsidRPr="00147BB9">
        <w:rPr>
          <w:b/>
          <w:color w:val="auto"/>
        </w:rPr>
        <w:t>case only</w:t>
      </w:r>
      <w:r w:rsidRPr="00F71AAD">
        <w:rPr>
          <w:color w:val="auto"/>
        </w:rPr>
        <w:t xml:space="preserve">. </w:t>
      </w:r>
      <w:r w:rsidR="00BB19F9">
        <w:rPr>
          <w:color w:val="auto"/>
        </w:rPr>
        <w:t xml:space="preserve"> </w:t>
      </w:r>
      <w:r w:rsidR="00147BB9">
        <w:rPr>
          <w:color w:val="auto"/>
        </w:rPr>
        <w:t>Along w</w:t>
      </w:r>
      <w:r w:rsidR="00BB19F9">
        <w:rPr>
          <w:color w:val="auto"/>
        </w:rPr>
        <w:t>ith the motion, parties should submit a</w:t>
      </w:r>
      <w:r w:rsidRPr="00F71AAD">
        <w:rPr>
          <w:color w:val="auto"/>
        </w:rPr>
        <w:t xml:space="preserve"> proposed form of order </w:t>
      </w:r>
      <w:r w:rsidR="00BB19F9">
        <w:rPr>
          <w:color w:val="auto"/>
        </w:rPr>
        <w:t xml:space="preserve">approving the settlement </w:t>
      </w:r>
      <w:r w:rsidRPr="00F71AAD">
        <w:rPr>
          <w:color w:val="auto"/>
        </w:rPr>
        <w:t xml:space="preserve">in the main case and a proposed form of judgment or </w:t>
      </w:r>
      <w:r w:rsidR="00D670B4">
        <w:rPr>
          <w:color w:val="auto"/>
        </w:rPr>
        <w:t xml:space="preserve">dismissal </w:t>
      </w:r>
      <w:r w:rsidRPr="00F71AAD">
        <w:rPr>
          <w:color w:val="auto"/>
        </w:rPr>
        <w:t>order in the adversary proceeding</w:t>
      </w:r>
      <w:r w:rsidR="00147BB9">
        <w:rPr>
          <w:color w:val="auto"/>
        </w:rPr>
        <w:t xml:space="preserve"> (if applicable)</w:t>
      </w:r>
      <w:r w:rsidRPr="00F71AAD">
        <w:rPr>
          <w:color w:val="auto"/>
        </w:rPr>
        <w:t xml:space="preserve">. </w:t>
      </w:r>
    </w:p>
    <w:p w:rsidR="004B743D" w:rsidRPr="00E23885" w:rsidRDefault="004B743D" w:rsidP="00E67A2F">
      <w:pPr>
        <w:pStyle w:val="Default"/>
        <w:numPr>
          <w:ilvl w:val="0"/>
          <w:numId w:val="3"/>
        </w:numPr>
        <w:ind w:left="360" w:hanging="360"/>
        <w:jc w:val="both"/>
        <w:rPr>
          <w:color w:val="auto"/>
        </w:rPr>
      </w:pPr>
    </w:p>
    <w:p w:rsidR="00233A0B" w:rsidRPr="00A74993" w:rsidRDefault="006754EB" w:rsidP="00753183">
      <w:pPr>
        <w:pStyle w:val="Default"/>
        <w:numPr>
          <w:ilvl w:val="0"/>
          <w:numId w:val="4"/>
        </w:numPr>
        <w:jc w:val="both"/>
        <w:rPr>
          <w:b/>
          <w:bCs/>
          <w:color w:val="auto"/>
          <w:u w:val="single"/>
        </w:rPr>
      </w:pPr>
      <w:r>
        <w:rPr>
          <w:b/>
          <w:bCs/>
          <w:color w:val="auto"/>
        </w:rPr>
        <w:t xml:space="preserve"> </w:t>
      </w:r>
      <w:r w:rsidR="004B743D" w:rsidRPr="00A74993">
        <w:rPr>
          <w:b/>
          <w:bCs/>
          <w:color w:val="auto"/>
          <w:u w:val="single"/>
        </w:rPr>
        <w:t>Courtesy Copies</w:t>
      </w:r>
      <w:r w:rsidR="00A74993" w:rsidRPr="00D670B4">
        <w:rPr>
          <w:bCs/>
          <w:color w:val="auto"/>
        </w:rPr>
        <w:t>.</w:t>
      </w:r>
      <w:r w:rsidR="00233A0B" w:rsidRPr="00A74993">
        <w:rPr>
          <w:b/>
          <w:bCs/>
          <w:color w:val="auto"/>
          <w:u w:val="single"/>
        </w:rPr>
        <w:t xml:space="preserve"> </w:t>
      </w:r>
    </w:p>
    <w:p w:rsidR="004B743D" w:rsidRPr="00E23885" w:rsidRDefault="004B743D" w:rsidP="00E23885">
      <w:pPr>
        <w:pStyle w:val="Default"/>
        <w:jc w:val="both"/>
        <w:rPr>
          <w:color w:val="auto"/>
        </w:rPr>
      </w:pPr>
    </w:p>
    <w:p w:rsidR="00147BB9" w:rsidRDefault="00147BB9" w:rsidP="00D670B4">
      <w:pPr>
        <w:pStyle w:val="Default"/>
        <w:ind w:left="450"/>
        <w:jc w:val="both"/>
        <w:rPr>
          <w:color w:val="auto"/>
        </w:rPr>
      </w:pPr>
      <w:r>
        <w:rPr>
          <w:color w:val="auto"/>
        </w:rPr>
        <w:t xml:space="preserve">The Court does not need to receive copies of documents that have been </w:t>
      </w:r>
      <w:r w:rsidR="00A84160">
        <w:rPr>
          <w:color w:val="auto"/>
        </w:rPr>
        <w:t xml:space="preserve">electronically </w:t>
      </w:r>
      <w:r>
        <w:rPr>
          <w:color w:val="auto"/>
        </w:rPr>
        <w:t>filed with the Clerk of the Court via CM/ECF.</w:t>
      </w:r>
    </w:p>
    <w:p w:rsidR="00147BB9" w:rsidRDefault="00147BB9" w:rsidP="00D670B4">
      <w:pPr>
        <w:pStyle w:val="Default"/>
        <w:ind w:left="450"/>
        <w:jc w:val="both"/>
        <w:rPr>
          <w:color w:val="auto"/>
        </w:rPr>
      </w:pPr>
    </w:p>
    <w:p w:rsidR="00147BB9" w:rsidRDefault="00147BB9" w:rsidP="00D670B4">
      <w:pPr>
        <w:pStyle w:val="Default"/>
        <w:ind w:left="450"/>
        <w:jc w:val="both"/>
        <w:rPr>
          <w:color w:val="auto"/>
        </w:rPr>
      </w:pPr>
      <w:r>
        <w:rPr>
          <w:color w:val="auto"/>
        </w:rPr>
        <w:t xml:space="preserve">In chapter 9 and 11 cases, parties should submit proposed confirmation orders in </w:t>
      </w:r>
      <w:r w:rsidR="00000CA0">
        <w:rPr>
          <w:color w:val="auto"/>
        </w:rPr>
        <w:t xml:space="preserve">MS </w:t>
      </w:r>
      <w:r>
        <w:rPr>
          <w:color w:val="auto"/>
        </w:rPr>
        <w:t xml:space="preserve">Word format </w:t>
      </w:r>
      <w:r w:rsidR="00BB1FA9">
        <w:rPr>
          <w:color w:val="auto"/>
        </w:rPr>
        <w:t xml:space="preserve">to the Court’s case manager </w:t>
      </w:r>
      <w:r>
        <w:rPr>
          <w:color w:val="auto"/>
        </w:rPr>
        <w:t xml:space="preserve">at least 24 hours prior to the scheduled confirmation hearing.      </w:t>
      </w:r>
    </w:p>
    <w:p w:rsidR="00147BB9" w:rsidRDefault="00147BB9" w:rsidP="00D670B4">
      <w:pPr>
        <w:pStyle w:val="Default"/>
        <w:ind w:left="450"/>
        <w:jc w:val="both"/>
        <w:rPr>
          <w:color w:val="auto"/>
        </w:rPr>
      </w:pPr>
    </w:p>
    <w:p w:rsidR="00224AB9" w:rsidRPr="00A74993" w:rsidRDefault="00A74993" w:rsidP="00753183">
      <w:pPr>
        <w:pStyle w:val="Default"/>
        <w:numPr>
          <w:ilvl w:val="0"/>
          <w:numId w:val="4"/>
        </w:numPr>
        <w:jc w:val="both"/>
        <w:rPr>
          <w:color w:val="auto"/>
          <w:u w:val="single"/>
        </w:rPr>
      </w:pPr>
      <w:r>
        <w:rPr>
          <w:b/>
          <w:bCs/>
          <w:color w:val="auto"/>
        </w:rPr>
        <w:t xml:space="preserve"> </w:t>
      </w:r>
      <w:r w:rsidR="006754EB" w:rsidRPr="00224AB9">
        <w:rPr>
          <w:b/>
          <w:bCs/>
          <w:color w:val="auto"/>
        </w:rPr>
        <w:t xml:space="preserve"> </w:t>
      </w:r>
      <w:r w:rsidR="004B743D" w:rsidRPr="00A74993">
        <w:rPr>
          <w:b/>
          <w:bCs/>
          <w:color w:val="auto"/>
          <w:u w:val="single"/>
        </w:rPr>
        <w:t>Courtroom Technology</w:t>
      </w:r>
      <w:r w:rsidRPr="00D670B4">
        <w:rPr>
          <w:b/>
          <w:bCs/>
          <w:color w:val="auto"/>
        </w:rPr>
        <w:t>.</w:t>
      </w:r>
      <w:r w:rsidR="00233A0B" w:rsidRPr="00A74993">
        <w:rPr>
          <w:b/>
          <w:bCs/>
          <w:color w:val="auto"/>
          <w:u w:val="single"/>
        </w:rPr>
        <w:t xml:space="preserve"> </w:t>
      </w:r>
    </w:p>
    <w:p w:rsidR="00224AB9" w:rsidRPr="00224AB9" w:rsidRDefault="00224AB9" w:rsidP="00224AB9">
      <w:pPr>
        <w:pStyle w:val="Default"/>
        <w:ind w:left="360"/>
        <w:jc w:val="both"/>
        <w:rPr>
          <w:color w:val="auto"/>
        </w:rPr>
      </w:pPr>
    </w:p>
    <w:p w:rsidR="00224AB9" w:rsidRDefault="00000CA0" w:rsidP="00753183">
      <w:pPr>
        <w:pStyle w:val="Default"/>
        <w:numPr>
          <w:ilvl w:val="1"/>
          <w:numId w:val="4"/>
        </w:numPr>
        <w:ind w:hanging="270"/>
        <w:jc w:val="both"/>
        <w:rPr>
          <w:color w:val="auto"/>
        </w:rPr>
      </w:pPr>
      <w:r>
        <w:rPr>
          <w:color w:val="auto"/>
        </w:rPr>
        <w:t>All c</w:t>
      </w:r>
      <w:r w:rsidR="00233A0B" w:rsidRPr="00224AB9">
        <w:rPr>
          <w:color w:val="auto"/>
        </w:rPr>
        <w:t>ourtroom</w:t>
      </w:r>
      <w:r>
        <w:rPr>
          <w:color w:val="auto"/>
        </w:rPr>
        <w:t>s</w:t>
      </w:r>
      <w:r w:rsidR="00233A0B" w:rsidRPr="00224AB9">
        <w:rPr>
          <w:color w:val="auto"/>
        </w:rPr>
        <w:t xml:space="preserve"> </w:t>
      </w:r>
      <w:r>
        <w:rPr>
          <w:color w:val="auto"/>
        </w:rPr>
        <w:t>are</w:t>
      </w:r>
      <w:r w:rsidR="00233A0B" w:rsidRPr="00224AB9">
        <w:rPr>
          <w:color w:val="auto"/>
        </w:rPr>
        <w:t xml:space="preserve"> equipped with technology that will allow parties to broadcast exhibits and other documents to opposing parties, witnesses and the Court from the display output on most laptop computers</w:t>
      </w:r>
      <w:r w:rsidR="00BB19F9">
        <w:rPr>
          <w:color w:val="auto"/>
        </w:rPr>
        <w:t xml:space="preserve"> and tablets</w:t>
      </w:r>
      <w:r w:rsidR="00233A0B" w:rsidRPr="00224AB9">
        <w:rPr>
          <w:color w:val="auto"/>
        </w:rPr>
        <w:t xml:space="preserve">. </w:t>
      </w:r>
      <w:r>
        <w:rPr>
          <w:color w:val="auto"/>
        </w:rPr>
        <w:t xml:space="preserve"> Jud</w:t>
      </w:r>
      <w:r w:rsidR="00753183">
        <w:rPr>
          <w:color w:val="auto"/>
        </w:rPr>
        <w:t>g</w:t>
      </w:r>
      <w:r>
        <w:rPr>
          <w:color w:val="auto"/>
        </w:rPr>
        <w:t xml:space="preserve">e Jones’ Houston courtroom is also equipped with </w:t>
      </w:r>
      <w:proofErr w:type="spellStart"/>
      <w:r>
        <w:rPr>
          <w:color w:val="auto"/>
        </w:rPr>
        <w:t>AirMedia</w:t>
      </w:r>
      <w:proofErr w:type="spellEnd"/>
      <w:r>
        <w:rPr>
          <w:color w:val="auto"/>
        </w:rPr>
        <w:t xml:space="preserve"> technology to allow wireless connection to the broadcasting system.</w:t>
      </w:r>
    </w:p>
    <w:p w:rsidR="00224AB9" w:rsidRDefault="00224AB9" w:rsidP="00224AB9">
      <w:pPr>
        <w:pStyle w:val="Default"/>
        <w:ind w:left="720"/>
        <w:jc w:val="both"/>
        <w:rPr>
          <w:color w:val="auto"/>
        </w:rPr>
      </w:pPr>
    </w:p>
    <w:p w:rsidR="004B743D" w:rsidRPr="00224AB9" w:rsidRDefault="00E8485C" w:rsidP="00753183">
      <w:pPr>
        <w:pStyle w:val="Default"/>
        <w:numPr>
          <w:ilvl w:val="1"/>
          <w:numId w:val="4"/>
        </w:numPr>
        <w:ind w:hanging="270"/>
        <w:jc w:val="both"/>
        <w:rPr>
          <w:color w:val="auto"/>
        </w:rPr>
      </w:pPr>
      <w:r w:rsidRPr="00224AB9">
        <w:rPr>
          <w:color w:val="auto"/>
        </w:rPr>
        <w:t>The Court encourages parties to bring copies of proposed forms of order to hearings on a USB device.</w:t>
      </w:r>
      <w:r w:rsidR="00BB1FA9">
        <w:rPr>
          <w:color w:val="auto"/>
        </w:rPr>
        <w:t xml:space="preserve">  Counsel tables are equipped with a </w:t>
      </w:r>
      <w:r w:rsidR="00A84160">
        <w:rPr>
          <w:color w:val="auto"/>
        </w:rPr>
        <w:t>USB</w:t>
      </w:r>
      <w:r w:rsidR="00BB1FA9">
        <w:rPr>
          <w:color w:val="auto"/>
        </w:rPr>
        <w:t xml:space="preserve"> port that is accessible by the Court.</w:t>
      </w:r>
    </w:p>
    <w:p w:rsidR="002A23F0" w:rsidRPr="00E23885" w:rsidRDefault="002A23F0" w:rsidP="00E23885">
      <w:pPr>
        <w:pStyle w:val="Default"/>
        <w:jc w:val="both"/>
        <w:rPr>
          <w:color w:val="auto"/>
        </w:rPr>
      </w:pPr>
    </w:p>
    <w:p w:rsidR="002A23F0" w:rsidRPr="00A74993" w:rsidRDefault="006754EB" w:rsidP="00753183">
      <w:pPr>
        <w:pStyle w:val="Default"/>
        <w:keepNext/>
        <w:keepLines/>
        <w:numPr>
          <w:ilvl w:val="0"/>
          <w:numId w:val="4"/>
        </w:numPr>
        <w:jc w:val="both"/>
        <w:rPr>
          <w:b/>
          <w:color w:val="auto"/>
          <w:u w:val="single"/>
        </w:rPr>
      </w:pPr>
      <w:r>
        <w:rPr>
          <w:b/>
          <w:color w:val="auto"/>
        </w:rPr>
        <w:t xml:space="preserve"> </w:t>
      </w:r>
      <w:r w:rsidR="002A23F0" w:rsidRPr="00A74993">
        <w:rPr>
          <w:b/>
          <w:color w:val="auto"/>
          <w:u w:val="single"/>
        </w:rPr>
        <w:t>Wireless</w:t>
      </w:r>
      <w:r w:rsidR="00A74993" w:rsidRPr="00D670B4">
        <w:rPr>
          <w:b/>
          <w:color w:val="auto"/>
        </w:rPr>
        <w:t>.</w:t>
      </w:r>
    </w:p>
    <w:p w:rsidR="002A23F0" w:rsidRPr="00E23885" w:rsidRDefault="002A23F0" w:rsidP="00A84160">
      <w:pPr>
        <w:pStyle w:val="Default"/>
        <w:keepNext/>
        <w:keepLines/>
        <w:jc w:val="both"/>
        <w:rPr>
          <w:color w:val="auto"/>
        </w:rPr>
      </w:pPr>
    </w:p>
    <w:p w:rsidR="002A23F0" w:rsidRPr="00E23885" w:rsidRDefault="00BB19F9" w:rsidP="00A84160">
      <w:pPr>
        <w:pStyle w:val="Default"/>
        <w:keepNext/>
        <w:keepLines/>
        <w:ind w:left="450"/>
        <w:jc w:val="both"/>
        <w:rPr>
          <w:color w:val="auto"/>
        </w:rPr>
      </w:pPr>
      <w:r>
        <w:rPr>
          <w:color w:val="auto"/>
        </w:rPr>
        <w:t>The courtroom is equipped with wireless access</w:t>
      </w:r>
      <w:r w:rsidR="00A16914">
        <w:rPr>
          <w:color w:val="auto"/>
        </w:rPr>
        <w:t xml:space="preserve"> to the internet</w:t>
      </w:r>
      <w:r>
        <w:rPr>
          <w:color w:val="auto"/>
        </w:rPr>
        <w:t>.  The wireless connection is</w:t>
      </w:r>
      <w:r w:rsidR="00BC2E31">
        <w:rPr>
          <w:color w:val="auto"/>
        </w:rPr>
        <w:t xml:space="preserve"> “</w:t>
      </w:r>
      <w:proofErr w:type="spellStart"/>
      <w:r w:rsidR="00BC2E31">
        <w:rPr>
          <w:color w:val="auto"/>
        </w:rPr>
        <w:t>Jones_Crt_AW</w:t>
      </w:r>
      <w:proofErr w:type="spellEnd"/>
      <w:r w:rsidR="002A23F0" w:rsidRPr="00E23885">
        <w:rPr>
          <w:color w:val="auto"/>
        </w:rPr>
        <w:t xml:space="preserve">”.  The network key is </w:t>
      </w:r>
      <w:proofErr w:type="spellStart"/>
      <w:r w:rsidR="00BC2E31">
        <w:rPr>
          <w:color w:val="auto"/>
        </w:rPr>
        <w:t>djones_crt</w:t>
      </w:r>
      <w:proofErr w:type="spellEnd"/>
      <w:r w:rsidR="002A23F0" w:rsidRPr="00E23885">
        <w:rPr>
          <w:color w:val="auto"/>
        </w:rPr>
        <w:t>.</w:t>
      </w:r>
    </w:p>
    <w:p w:rsidR="00305507" w:rsidRPr="00E23885" w:rsidRDefault="00305507" w:rsidP="00E23885">
      <w:pPr>
        <w:pStyle w:val="Default"/>
        <w:jc w:val="both"/>
        <w:rPr>
          <w:color w:val="auto"/>
        </w:rPr>
      </w:pPr>
    </w:p>
    <w:p w:rsidR="003B7F84" w:rsidRPr="00A74993" w:rsidRDefault="006754EB" w:rsidP="00753183">
      <w:pPr>
        <w:pStyle w:val="Default"/>
        <w:numPr>
          <w:ilvl w:val="0"/>
          <w:numId w:val="4"/>
        </w:numPr>
        <w:jc w:val="both"/>
        <w:rPr>
          <w:b/>
          <w:color w:val="auto"/>
          <w:u w:val="single"/>
        </w:rPr>
      </w:pPr>
      <w:r>
        <w:rPr>
          <w:b/>
          <w:color w:val="auto"/>
        </w:rPr>
        <w:t xml:space="preserve"> </w:t>
      </w:r>
      <w:r w:rsidR="00305507" w:rsidRPr="00A74993">
        <w:rPr>
          <w:b/>
          <w:color w:val="auto"/>
          <w:u w:val="single"/>
        </w:rPr>
        <w:t>Exhibits</w:t>
      </w:r>
      <w:r w:rsidR="00A74993" w:rsidRPr="0045312B">
        <w:rPr>
          <w:b/>
          <w:color w:val="auto"/>
        </w:rPr>
        <w:t>.</w:t>
      </w:r>
    </w:p>
    <w:p w:rsidR="003B7F84" w:rsidRDefault="003B7F84" w:rsidP="003B7F84">
      <w:pPr>
        <w:pStyle w:val="Default"/>
        <w:ind w:left="360"/>
        <w:jc w:val="both"/>
        <w:rPr>
          <w:b/>
          <w:color w:val="auto"/>
        </w:rPr>
      </w:pPr>
    </w:p>
    <w:p w:rsidR="000161E1" w:rsidRPr="003B7F84" w:rsidRDefault="00A16914" w:rsidP="00753183">
      <w:pPr>
        <w:pStyle w:val="Default"/>
        <w:numPr>
          <w:ilvl w:val="1"/>
          <w:numId w:val="4"/>
        </w:numPr>
        <w:ind w:hanging="270"/>
        <w:jc w:val="both"/>
        <w:rPr>
          <w:b/>
          <w:color w:val="auto"/>
        </w:rPr>
      </w:pPr>
      <w:r>
        <w:t>All hard copy exhibits should be clearly marked, tabbed and bound in a 3-ring notebook or another binding method that allows the exhibit book to be opened and lay flat on an even surface.  In addition to copies for opposing parties, counsel sh</w:t>
      </w:r>
      <w:r w:rsidR="00BB1FA9">
        <w:t>ould</w:t>
      </w:r>
      <w:r>
        <w:t xml:space="preserve"> bring t</w:t>
      </w:r>
      <w:r w:rsidR="00000CA0">
        <w:t>wo</w:t>
      </w:r>
      <w:r>
        <w:t xml:space="preserve"> hard copies of the exhibits to the scheduled hearing or trial—one for the </w:t>
      </w:r>
      <w:r w:rsidR="00BB1FA9">
        <w:t>C</w:t>
      </w:r>
      <w:r>
        <w:t>ourt and one for witnesses.</w:t>
      </w:r>
    </w:p>
    <w:p w:rsidR="003B7F84" w:rsidRPr="003B7F84" w:rsidRDefault="003B7F84" w:rsidP="003B7F84">
      <w:pPr>
        <w:pStyle w:val="Default"/>
        <w:ind w:left="720"/>
        <w:jc w:val="both"/>
        <w:rPr>
          <w:b/>
          <w:color w:val="auto"/>
        </w:rPr>
      </w:pPr>
    </w:p>
    <w:p w:rsidR="00BB1FA9" w:rsidRPr="00BB1FA9" w:rsidRDefault="003B7F84" w:rsidP="00753183">
      <w:pPr>
        <w:pStyle w:val="PHBodyTextNoIndent0pt"/>
        <w:numPr>
          <w:ilvl w:val="1"/>
          <w:numId w:val="4"/>
        </w:numPr>
        <w:ind w:hanging="270"/>
        <w:rPr>
          <w:b/>
        </w:rPr>
      </w:pPr>
      <w:r w:rsidRPr="00A16914">
        <w:t xml:space="preserve">The Court intends to strictly enforce </w:t>
      </w:r>
      <w:r w:rsidR="00BB1FA9">
        <w:t xml:space="preserve">Local Rule 9013-2.  </w:t>
      </w:r>
      <w:r w:rsidR="00BB1FA9" w:rsidRPr="00BB1FA9">
        <w:rPr>
          <w:b/>
        </w:rPr>
        <w:t>Unless otherwise specifically ordered, all hearings are evidentiary</w:t>
      </w:r>
      <w:r w:rsidR="00BB1FA9">
        <w:t>.</w:t>
      </w:r>
    </w:p>
    <w:p w:rsidR="003B7F84" w:rsidRPr="00E23885" w:rsidRDefault="003B7F84" w:rsidP="003B7F84">
      <w:pPr>
        <w:pStyle w:val="Default"/>
        <w:jc w:val="both"/>
        <w:rPr>
          <w:color w:val="auto"/>
        </w:rPr>
      </w:pPr>
    </w:p>
    <w:p w:rsidR="003B7F84" w:rsidRPr="00A74993" w:rsidRDefault="003B7F84" w:rsidP="00753183">
      <w:pPr>
        <w:pStyle w:val="Default"/>
        <w:keepNext/>
        <w:keepLines/>
        <w:numPr>
          <w:ilvl w:val="0"/>
          <w:numId w:val="4"/>
        </w:numPr>
        <w:jc w:val="both"/>
        <w:rPr>
          <w:b/>
          <w:color w:val="auto"/>
          <w:u w:val="single"/>
        </w:rPr>
      </w:pPr>
      <w:r>
        <w:rPr>
          <w:b/>
          <w:color w:val="auto"/>
        </w:rPr>
        <w:t xml:space="preserve"> </w:t>
      </w:r>
      <w:r w:rsidR="00A16914">
        <w:rPr>
          <w:b/>
          <w:color w:val="auto"/>
          <w:u w:val="single"/>
        </w:rPr>
        <w:t>Victoria</w:t>
      </w:r>
      <w:r w:rsidR="00000CA0">
        <w:rPr>
          <w:b/>
          <w:color w:val="auto"/>
          <w:u w:val="single"/>
        </w:rPr>
        <w:t>, Corpus Christi and Galveston</w:t>
      </w:r>
      <w:r w:rsidR="0045312B">
        <w:rPr>
          <w:b/>
          <w:color w:val="auto"/>
        </w:rPr>
        <w:t>.</w:t>
      </w:r>
    </w:p>
    <w:p w:rsidR="003B7F84" w:rsidRDefault="003B7F84" w:rsidP="00D670B4">
      <w:pPr>
        <w:pStyle w:val="Default"/>
        <w:keepNext/>
        <w:keepLines/>
        <w:jc w:val="both"/>
        <w:rPr>
          <w:color w:val="auto"/>
        </w:rPr>
      </w:pPr>
    </w:p>
    <w:p w:rsidR="00A16914" w:rsidRDefault="003B7F84" w:rsidP="00D670B4">
      <w:pPr>
        <w:pStyle w:val="Default"/>
        <w:keepNext/>
        <w:keepLines/>
        <w:ind w:left="450"/>
        <w:jc w:val="both"/>
        <w:rPr>
          <w:color w:val="auto"/>
        </w:rPr>
      </w:pPr>
      <w:r>
        <w:rPr>
          <w:color w:val="auto"/>
        </w:rPr>
        <w:t xml:space="preserve">Judge Jones </w:t>
      </w:r>
      <w:r w:rsidR="00A16914">
        <w:rPr>
          <w:color w:val="auto"/>
        </w:rPr>
        <w:t>hold</w:t>
      </w:r>
      <w:r w:rsidR="00000CA0">
        <w:rPr>
          <w:color w:val="auto"/>
        </w:rPr>
        <w:t>s</w:t>
      </w:r>
      <w:r w:rsidR="00A16914">
        <w:rPr>
          <w:color w:val="auto"/>
        </w:rPr>
        <w:t xml:space="preserve"> hearings in Victoria</w:t>
      </w:r>
      <w:r w:rsidR="00000CA0">
        <w:rPr>
          <w:color w:val="auto"/>
        </w:rPr>
        <w:t xml:space="preserve">, Corpus Christi and </w:t>
      </w:r>
      <w:r w:rsidR="00C43372">
        <w:rPr>
          <w:color w:val="auto"/>
        </w:rPr>
        <w:t>Galveston</w:t>
      </w:r>
      <w:r>
        <w:rPr>
          <w:color w:val="auto"/>
        </w:rPr>
        <w:t xml:space="preserve">.  </w:t>
      </w:r>
      <w:r w:rsidR="00D670B4">
        <w:rPr>
          <w:color w:val="auto"/>
        </w:rPr>
        <w:t>Hearing dates</w:t>
      </w:r>
      <w:r w:rsidR="00A16914">
        <w:rPr>
          <w:color w:val="auto"/>
        </w:rPr>
        <w:t xml:space="preserve"> </w:t>
      </w:r>
      <w:r w:rsidR="00A74993">
        <w:rPr>
          <w:color w:val="auto"/>
        </w:rPr>
        <w:t xml:space="preserve">in each division </w:t>
      </w:r>
      <w:r w:rsidR="00A16914">
        <w:rPr>
          <w:color w:val="auto"/>
        </w:rPr>
        <w:t>will be published</w:t>
      </w:r>
      <w:r w:rsidR="00A74993">
        <w:rPr>
          <w:color w:val="auto"/>
        </w:rPr>
        <w:t xml:space="preserve"> on Judge Jones’ home page</w:t>
      </w:r>
      <w:r>
        <w:rPr>
          <w:color w:val="auto"/>
        </w:rPr>
        <w:t>.</w:t>
      </w:r>
      <w:r w:rsidR="00A16914">
        <w:rPr>
          <w:color w:val="auto"/>
        </w:rPr>
        <w:t xml:space="preserve">  If parties in these divisions require expedited or emergency relief, they should contact the Court’s case manager for an alternative setting.</w:t>
      </w:r>
    </w:p>
    <w:p w:rsidR="00A74993" w:rsidRDefault="003B7F84" w:rsidP="00E23885">
      <w:pPr>
        <w:pStyle w:val="Default"/>
        <w:jc w:val="both"/>
        <w:rPr>
          <w:color w:val="auto"/>
        </w:rPr>
      </w:pPr>
      <w:r>
        <w:rPr>
          <w:color w:val="auto"/>
        </w:rPr>
        <w:t xml:space="preserve"> </w:t>
      </w:r>
    </w:p>
    <w:p w:rsidR="00E23885" w:rsidRPr="00B604C9" w:rsidRDefault="006754EB" w:rsidP="00753183">
      <w:pPr>
        <w:pStyle w:val="ListParagraph"/>
        <w:numPr>
          <w:ilvl w:val="0"/>
          <w:numId w:val="4"/>
        </w:numPr>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82577E" w:rsidRPr="00B604C9">
        <w:rPr>
          <w:rFonts w:ascii="Times New Roman" w:hAnsi="Times New Roman" w:cs="Times New Roman"/>
          <w:b/>
          <w:sz w:val="24"/>
          <w:szCs w:val="24"/>
          <w:u w:val="single"/>
        </w:rPr>
        <w:t>Condi</w:t>
      </w:r>
      <w:r w:rsidR="00E23885" w:rsidRPr="00B604C9">
        <w:rPr>
          <w:rFonts w:ascii="Times New Roman" w:hAnsi="Times New Roman" w:cs="Times New Roman"/>
          <w:b/>
          <w:sz w:val="24"/>
          <w:szCs w:val="24"/>
          <w:u w:val="single"/>
        </w:rPr>
        <w:t xml:space="preserve">tional Approval of Disclosure Statements </w:t>
      </w:r>
      <w:r w:rsidR="00B604C9">
        <w:rPr>
          <w:rFonts w:ascii="Times New Roman" w:hAnsi="Times New Roman" w:cs="Times New Roman"/>
          <w:b/>
          <w:sz w:val="24"/>
          <w:szCs w:val="24"/>
          <w:u w:val="single"/>
        </w:rPr>
        <w:t>in Certain Chapter 11</w:t>
      </w:r>
      <w:r w:rsidR="00E23885" w:rsidRPr="00B604C9">
        <w:rPr>
          <w:rFonts w:ascii="Times New Roman" w:hAnsi="Times New Roman" w:cs="Times New Roman"/>
          <w:b/>
          <w:sz w:val="24"/>
          <w:szCs w:val="24"/>
          <w:u w:val="single"/>
        </w:rPr>
        <w:t xml:space="preserve"> Cases</w:t>
      </w:r>
      <w:r w:rsidR="00B604C9" w:rsidRPr="0045312B">
        <w:rPr>
          <w:rFonts w:ascii="Times New Roman" w:hAnsi="Times New Roman" w:cs="Times New Roman"/>
          <w:b/>
          <w:sz w:val="24"/>
          <w:szCs w:val="24"/>
        </w:rPr>
        <w:t>.</w:t>
      </w:r>
    </w:p>
    <w:p w:rsidR="00715CE3" w:rsidRDefault="00A16914" w:rsidP="000D6786">
      <w:pPr>
        <w:ind w:left="450"/>
        <w:jc w:val="both"/>
        <w:rPr>
          <w:rFonts w:ascii="Times New Roman" w:hAnsi="Times New Roman" w:cs="Times New Roman"/>
          <w:sz w:val="24"/>
          <w:szCs w:val="24"/>
        </w:rPr>
      </w:pPr>
      <w:r>
        <w:rPr>
          <w:rFonts w:ascii="Times New Roman" w:hAnsi="Times New Roman" w:cs="Times New Roman"/>
          <w:sz w:val="24"/>
          <w:szCs w:val="24"/>
        </w:rPr>
        <w:t xml:space="preserve">Under appropriate </w:t>
      </w:r>
      <w:r w:rsidR="00B604C9">
        <w:rPr>
          <w:rFonts w:ascii="Times New Roman" w:hAnsi="Times New Roman" w:cs="Times New Roman"/>
          <w:sz w:val="24"/>
          <w:szCs w:val="24"/>
        </w:rPr>
        <w:t>circumstances</w:t>
      </w:r>
      <w:r>
        <w:rPr>
          <w:rFonts w:ascii="Times New Roman" w:hAnsi="Times New Roman" w:cs="Times New Roman"/>
          <w:sz w:val="24"/>
          <w:szCs w:val="24"/>
        </w:rPr>
        <w:t xml:space="preserve">, the </w:t>
      </w:r>
      <w:r w:rsidR="00715CE3">
        <w:rPr>
          <w:rFonts w:ascii="Times New Roman" w:hAnsi="Times New Roman" w:cs="Times New Roman"/>
          <w:sz w:val="24"/>
          <w:szCs w:val="24"/>
        </w:rPr>
        <w:t xml:space="preserve">Court </w:t>
      </w:r>
      <w:r>
        <w:rPr>
          <w:rFonts w:ascii="Times New Roman" w:hAnsi="Times New Roman" w:cs="Times New Roman"/>
          <w:sz w:val="24"/>
          <w:szCs w:val="24"/>
        </w:rPr>
        <w:t xml:space="preserve">will consider motions for </w:t>
      </w:r>
      <w:r w:rsidR="00B604C9">
        <w:rPr>
          <w:rFonts w:ascii="Times New Roman" w:hAnsi="Times New Roman" w:cs="Times New Roman"/>
          <w:sz w:val="24"/>
          <w:szCs w:val="24"/>
        </w:rPr>
        <w:t xml:space="preserve">expedited approval of </w:t>
      </w:r>
      <w:r w:rsidR="00B93762">
        <w:rPr>
          <w:rFonts w:ascii="Times New Roman" w:hAnsi="Times New Roman" w:cs="Times New Roman"/>
          <w:sz w:val="24"/>
          <w:szCs w:val="24"/>
        </w:rPr>
        <w:t>a</w:t>
      </w:r>
      <w:r w:rsidR="00B604C9">
        <w:rPr>
          <w:rFonts w:ascii="Times New Roman" w:hAnsi="Times New Roman" w:cs="Times New Roman"/>
          <w:sz w:val="24"/>
          <w:szCs w:val="24"/>
        </w:rPr>
        <w:t xml:space="preserve"> disclosure statement.  The </w:t>
      </w:r>
      <w:r>
        <w:rPr>
          <w:rFonts w:ascii="Times New Roman" w:hAnsi="Times New Roman" w:cs="Times New Roman"/>
          <w:sz w:val="24"/>
          <w:szCs w:val="24"/>
        </w:rPr>
        <w:t xml:space="preserve">Court will also consider motions requesting </w:t>
      </w:r>
      <w:r w:rsidR="00715CE3">
        <w:rPr>
          <w:rFonts w:ascii="Times New Roman" w:hAnsi="Times New Roman" w:cs="Times New Roman"/>
          <w:sz w:val="24"/>
          <w:szCs w:val="24"/>
        </w:rPr>
        <w:t>conditional app</w:t>
      </w:r>
      <w:r w:rsidR="00B604C9">
        <w:rPr>
          <w:rFonts w:ascii="Times New Roman" w:hAnsi="Times New Roman" w:cs="Times New Roman"/>
          <w:sz w:val="24"/>
          <w:szCs w:val="24"/>
        </w:rPr>
        <w:t>roval of a disclosure statement.  Expedited consideration</w:t>
      </w:r>
      <w:r>
        <w:rPr>
          <w:rFonts w:ascii="Times New Roman" w:hAnsi="Times New Roman" w:cs="Times New Roman"/>
          <w:sz w:val="24"/>
          <w:szCs w:val="24"/>
        </w:rPr>
        <w:t>/conditional approval</w:t>
      </w:r>
      <w:r w:rsidR="00B604C9">
        <w:rPr>
          <w:rFonts w:ascii="Times New Roman" w:hAnsi="Times New Roman" w:cs="Times New Roman"/>
          <w:sz w:val="24"/>
          <w:szCs w:val="24"/>
        </w:rPr>
        <w:t xml:space="preserve"> may be appropriate regardless of whether the case is designated as a “small business case” under the Bankruptcy Code.  </w:t>
      </w:r>
      <w:r w:rsidR="00715CE3">
        <w:rPr>
          <w:rFonts w:ascii="Times New Roman" w:hAnsi="Times New Roman" w:cs="Times New Roman"/>
          <w:sz w:val="24"/>
          <w:szCs w:val="24"/>
        </w:rPr>
        <w:t xml:space="preserve">  </w:t>
      </w:r>
    </w:p>
    <w:p w:rsidR="00715CE3" w:rsidRPr="00B604C9" w:rsidRDefault="00715CE3" w:rsidP="00753183">
      <w:pPr>
        <w:pStyle w:val="ListParagraph"/>
        <w:numPr>
          <w:ilvl w:val="0"/>
          <w:numId w:val="4"/>
        </w:numPr>
        <w:jc w:val="both"/>
        <w:rPr>
          <w:rFonts w:ascii="Times New Roman" w:hAnsi="Times New Roman" w:cs="Times New Roman"/>
          <w:b/>
          <w:sz w:val="24"/>
          <w:szCs w:val="24"/>
          <w:u w:val="single"/>
        </w:rPr>
      </w:pPr>
      <w:r w:rsidRPr="006754EB">
        <w:rPr>
          <w:rFonts w:ascii="Times New Roman" w:hAnsi="Times New Roman" w:cs="Times New Roman"/>
          <w:b/>
          <w:sz w:val="24"/>
          <w:szCs w:val="24"/>
        </w:rPr>
        <w:t xml:space="preserve"> </w:t>
      </w:r>
      <w:r w:rsidRPr="00B604C9">
        <w:rPr>
          <w:rFonts w:ascii="Times New Roman" w:hAnsi="Times New Roman" w:cs="Times New Roman"/>
          <w:b/>
          <w:sz w:val="24"/>
          <w:szCs w:val="24"/>
          <w:u w:val="single"/>
        </w:rPr>
        <w:t>Fee Applications</w:t>
      </w:r>
      <w:r w:rsidR="00B604C9" w:rsidRPr="0045312B">
        <w:rPr>
          <w:rFonts w:ascii="Times New Roman" w:hAnsi="Times New Roman" w:cs="Times New Roman"/>
          <w:b/>
          <w:sz w:val="24"/>
          <w:szCs w:val="24"/>
        </w:rPr>
        <w:t>.</w:t>
      </w:r>
    </w:p>
    <w:p w:rsidR="00715CE3" w:rsidRPr="00E23885" w:rsidRDefault="00715CE3" w:rsidP="00753183">
      <w:pPr>
        <w:pStyle w:val="Default"/>
        <w:numPr>
          <w:ilvl w:val="1"/>
          <w:numId w:val="4"/>
        </w:numPr>
        <w:jc w:val="both"/>
      </w:pPr>
      <w:r w:rsidRPr="00715CE3">
        <w:rPr>
          <w:b/>
          <w:bCs/>
        </w:rPr>
        <w:t xml:space="preserve">Fee </w:t>
      </w:r>
      <w:r w:rsidRPr="00E23885">
        <w:rPr>
          <w:b/>
          <w:bCs/>
        </w:rPr>
        <w:t>Applications in cases under chapter 7</w:t>
      </w:r>
    </w:p>
    <w:p w:rsidR="00715CE3" w:rsidRPr="00E23885" w:rsidRDefault="00715CE3" w:rsidP="00715CE3">
      <w:pPr>
        <w:pStyle w:val="Default"/>
        <w:jc w:val="both"/>
      </w:pPr>
    </w:p>
    <w:p w:rsidR="00715CE3" w:rsidRDefault="00715CE3" w:rsidP="000D6786">
      <w:pPr>
        <w:pStyle w:val="Default"/>
        <w:ind w:left="360"/>
        <w:jc w:val="both"/>
      </w:pPr>
      <w:r w:rsidRPr="00E23885">
        <w:t xml:space="preserve">Applications for compensation and reimbursement in cases under chapter 7 shall contain the following </w:t>
      </w:r>
      <w:r w:rsidR="004E63AA">
        <w:t xml:space="preserve">table </w:t>
      </w:r>
      <w:r w:rsidR="000D6786">
        <w:t xml:space="preserve">beginning on the first page of the application </w:t>
      </w:r>
      <w:r w:rsidR="004E63AA">
        <w:t xml:space="preserve">(a word document containing the table is available on the Court’s website): </w:t>
      </w:r>
    </w:p>
    <w:p w:rsidR="00A16914" w:rsidRDefault="00A16914" w:rsidP="00715CE3">
      <w:pPr>
        <w:pStyle w:val="Default"/>
        <w:jc w:val="both"/>
      </w:pPr>
    </w:p>
    <w:p w:rsidR="00A16914" w:rsidRDefault="00A16914" w:rsidP="00AC0881">
      <w:pPr>
        <w:keepNext/>
        <w:keepLines/>
        <w:jc w:val="center"/>
        <w:rPr>
          <w:rFonts w:ascii="Times New Roman" w:hAnsi="Times New Roman"/>
          <w:b/>
          <w:bCs/>
          <w:sz w:val="24"/>
          <w:u w:val="single"/>
        </w:rPr>
      </w:pPr>
      <w:r>
        <w:rPr>
          <w:rFonts w:ascii="Times New Roman" w:hAnsi="Times New Roman"/>
          <w:b/>
          <w:bCs/>
          <w:sz w:val="24"/>
          <w:u w:val="single"/>
        </w:rPr>
        <w:t>Fee Application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2520"/>
        <w:gridCol w:w="1998"/>
      </w:tblGrid>
      <w:tr w:rsidR="00A16914" w:rsidTr="006B05EE">
        <w:tc>
          <w:tcPr>
            <w:tcW w:w="5058"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Name of Applicant:</w:t>
            </w:r>
          </w:p>
        </w:tc>
        <w:tc>
          <w:tcPr>
            <w:tcW w:w="4518" w:type="dxa"/>
            <w:gridSpan w:val="2"/>
          </w:tcPr>
          <w:p w:rsidR="00A16914" w:rsidRDefault="00A16914" w:rsidP="00AC0881">
            <w:pPr>
              <w:keepNext/>
              <w:keepLines/>
              <w:spacing w:before="120" w:after="0" w:line="240" w:lineRule="auto"/>
              <w:rPr>
                <w:rFonts w:ascii="Times New Roman" w:hAnsi="Times New Roman"/>
                <w:sz w:val="24"/>
                <w:u w:val="double"/>
              </w:rPr>
            </w:pPr>
          </w:p>
        </w:tc>
      </w:tr>
      <w:tr w:rsidR="00A16914" w:rsidTr="006B05EE">
        <w:tc>
          <w:tcPr>
            <w:tcW w:w="5058"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Applicant’s Role in Case:</w:t>
            </w:r>
          </w:p>
        </w:tc>
        <w:tc>
          <w:tcPr>
            <w:tcW w:w="4518" w:type="dxa"/>
            <w:gridSpan w:val="2"/>
          </w:tcPr>
          <w:p w:rsidR="00A16914" w:rsidRDefault="00A16914" w:rsidP="00AC0881">
            <w:pPr>
              <w:keepNext/>
              <w:keepLines/>
              <w:spacing w:before="120" w:after="0" w:line="240" w:lineRule="auto"/>
              <w:rPr>
                <w:rFonts w:ascii="Times New Roman" w:hAnsi="Times New Roman"/>
                <w:sz w:val="24"/>
              </w:rPr>
            </w:pPr>
          </w:p>
        </w:tc>
      </w:tr>
      <w:tr w:rsidR="00A16914" w:rsidTr="006B05EE">
        <w:tc>
          <w:tcPr>
            <w:tcW w:w="5058"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Date Order of Appointment Signed:</w:t>
            </w:r>
          </w:p>
        </w:tc>
        <w:tc>
          <w:tcPr>
            <w:tcW w:w="4518" w:type="dxa"/>
            <w:gridSpan w:val="2"/>
          </w:tcPr>
          <w:p w:rsidR="00A16914" w:rsidRDefault="00A16914" w:rsidP="00AC0881">
            <w:pPr>
              <w:keepNext/>
              <w:keepLines/>
              <w:spacing w:before="120" w:after="0" w:line="240" w:lineRule="auto"/>
              <w:rPr>
                <w:rFonts w:ascii="Times New Roman" w:hAnsi="Times New Roman"/>
                <w:sz w:val="24"/>
              </w:rPr>
            </w:pPr>
            <w:r>
              <w:rPr>
                <w:rFonts w:ascii="Times New Roman" w:hAnsi="Times New Roman"/>
                <w:sz w:val="24"/>
              </w:rPr>
              <w:t>__/__/_</w:t>
            </w:r>
            <w:proofErr w:type="gramStart"/>
            <w:r>
              <w:rPr>
                <w:rFonts w:ascii="Times New Roman" w:hAnsi="Times New Roman"/>
                <w:sz w:val="24"/>
              </w:rPr>
              <w:t>_  (</w:t>
            </w:r>
            <w:proofErr w:type="gramEnd"/>
            <w:r>
              <w:rPr>
                <w:rFonts w:ascii="Times New Roman" w:hAnsi="Times New Roman"/>
                <w:sz w:val="24"/>
              </w:rPr>
              <w:t>Docket No. ___)</w:t>
            </w:r>
          </w:p>
        </w:tc>
      </w:tr>
      <w:tr w:rsidR="00A16914" w:rsidTr="006B05EE">
        <w:tc>
          <w:tcPr>
            <w:tcW w:w="5058" w:type="dxa"/>
          </w:tcPr>
          <w:p w:rsidR="00A16914" w:rsidRDefault="00A16914" w:rsidP="00AC0881">
            <w:pPr>
              <w:keepNext/>
              <w:keepLines/>
              <w:spacing w:before="120" w:after="0" w:line="240" w:lineRule="auto"/>
              <w:rPr>
                <w:rFonts w:ascii="Times New Roman" w:hAnsi="Times New Roman"/>
                <w:sz w:val="24"/>
              </w:rPr>
            </w:pPr>
          </w:p>
        </w:tc>
        <w:tc>
          <w:tcPr>
            <w:tcW w:w="2520"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Beginning of Period</w:t>
            </w:r>
          </w:p>
        </w:tc>
        <w:tc>
          <w:tcPr>
            <w:tcW w:w="1998"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End of Period</w:t>
            </w:r>
          </w:p>
        </w:tc>
      </w:tr>
      <w:tr w:rsidR="00A16914" w:rsidTr="006B05EE">
        <w:tc>
          <w:tcPr>
            <w:tcW w:w="5058"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Time period covered by this Application:</w:t>
            </w:r>
          </w:p>
        </w:tc>
        <w:tc>
          <w:tcPr>
            <w:tcW w:w="2520" w:type="dxa"/>
          </w:tcPr>
          <w:p w:rsidR="00A16914" w:rsidRDefault="00A16914" w:rsidP="00AC0881">
            <w:pPr>
              <w:keepNext/>
              <w:keepLines/>
              <w:spacing w:before="120" w:after="0" w:line="240" w:lineRule="auto"/>
              <w:jc w:val="center"/>
              <w:rPr>
                <w:rFonts w:ascii="Times New Roman" w:hAnsi="Times New Roman"/>
                <w:sz w:val="24"/>
              </w:rPr>
            </w:pPr>
            <w:r>
              <w:rPr>
                <w:rFonts w:ascii="Times New Roman" w:hAnsi="Times New Roman"/>
                <w:sz w:val="24"/>
              </w:rPr>
              <w:t>__/__/__</w:t>
            </w:r>
          </w:p>
        </w:tc>
        <w:tc>
          <w:tcPr>
            <w:tcW w:w="1998" w:type="dxa"/>
          </w:tcPr>
          <w:p w:rsidR="00A16914" w:rsidRDefault="00A16914" w:rsidP="00AC0881">
            <w:pPr>
              <w:keepNext/>
              <w:keepLines/>
              <w:spacing w:before="120" w:after="0" w:line="240" w:lineRule="auto"/>
              <w:jc w:val="center"/>
              <w:rPr>
                <w:rFonts w:ascii="Times New Roman" w:hAnsi="Times New Roman"/>
                <w:sz w:val="24"/>
              </w:rPr>
            </w:pPr>
            <w:r>
              <w:rPr>
                <w:rFonts w:ascii="Times New Roman" w:hAnsi="Times New Roman"/>
                <w:sz w:val="24"/>
              </w:rPr>
              <w:t>__/__/__</w:t>
            </w:r>
          </w:p>
        </w:tc>
      </w:tr>
      <w:tr w:rsidR="00A16914" w:rsidTr="006B05EE">
        <w:tc>
          <w:tcPr>
            <w:tcW w:w="5058" w:type="dxa"/>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Time period(s) covered by prior Applications:</w:t>
            </w:r>
          </w:p>
        </w:tc>
        <w:tc>
          <w:tcPr>
            <w:tcW w:w="2520" w:type="dxa"/>
          </w:tcPr>
          <w:p w:rsidR="00A16914" w:rsidRPr="00094ED7" w:rsidRDefault="00A16914" w:rsidP="00AC0881">
            <w:pPr>
              <w:keepNext/>
              <w:keepLines/>
              <w:spacing w:before="120" w:after="0" w:line="240" w:lineRule="auto"/>
              <w:jc w:val="center"/>
              <w:rPr>
                <w:rFonts w:ascii="Times New Roman" w:hAnsi="Times New Roman"/>
                <w:sz w:val="24"/>
              </w:rPr>
            </w:pPr>
            <w:r w:rsidRPr="00094ED7">
              <w:rPr>
                <w:rFonts w:ascii="Times New Roman" w:hAnsi="Times New Roman"/>
                <w:sz w:val="24"/>
              </w:rPr>
              <w:t>__/__/__</w:t>
            </w:r>
          </w:p>
        </w:tc>
        <w:tc>
          <w:tcPr>
            <w:tcW w:w="1998" w:type="dxa"/>
          </w:tcPr>
          <w:p w:rsidR="00A16914" w:rsidRPr="00094ED7" w:rsidRDefault="00A16914" w:rsidP="00AC0881">
            <w:pPr>
              <w:keepNext/>
              <w:keepLines/>
              <w:spacing w:before="120" w:after="0" w:line="240" w:lineRule="auto"/>
              <w:jc w:val="center"/>
              <w:rPr>
                <w:rFonts w:ascii="Times New Roman" w:hAnsi="Times New Roman"/>
                <w:sz w:val="24"/>
              </w:rPr>
            </w:pPr>
            <w:r w:rsidRPr="00094ED7">
              <w:rPr>
                <w:rFonts w:ascii="Times New Roman" w:hAnsi="Times New Roman"/>
                <w:sz w:val="24"/>
              </w:rPr>
              <w:t>__/__/__</w:t>
            </w: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amounts awarded in all prior Applications: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fees requested in this Application and in all prior Applications: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fees requested in this Application:</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professional fees requested in this Application:</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actual professional hours covered by this Application:</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Average hourly rate for professionals: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paraprofessional fees requested in this Application:</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actual paraprofessional hours covered by this Application:</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Average hourly rate for paraprofessionals: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Reimbursable expenses sought in this application:</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Application cost:</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Total of other payments paid to secured claimants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 xml:space="preserve">Total of other payments paid to administrative claimants </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Estimated total for distribution to priority unsecured creditors: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 xml:space="preserve">Estimate percentage dividend to priority unsecured creditors </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Estimated total for distribution to general unsecured creditors: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Estimate percentage dividend to general unsecured creditors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 xml:space="preserve">Receipts to date: </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Disbursements to date:</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r w:rsidR="00A16914" w:rsidTr="006B05EE">
        <w:tc>
          <w:tcPr>
            <w:tcW w:w="7578" w:type="dxa"/>
            <w:gridSpan w:val="2"/>
          </w:tcPr>
          <w:p w:rsidR="00A16914" w:rsidRDefault="00A16914" w:rsidP="00AC0881">
            <w:pPr>
              <w:keepNext/>
              <w:keepLines/>
              <w:spacing w:before="120" w:after="0" w:line="240" w:lineRule="auto"/>
              <w:rPr>
                <w:rFonts w:ascii="Times New Roman" w:hAnsi="Times New Roman"/>
                <w:b/>
                <w:bCs/>
                <w:sz w:val="24"/>
              </w:rPr>
            </w:pPr>
            <w:r>
              <w:rPr>
                <w:rFonts w:ascii="Times New Roman" w:hAnsi="Times New Roman"/>
                <w:b/>
                <w:bCs/>
                <w:sz w:val="24"/>
              </w:rPr>
              <w:t>Current balance in the Trustee’s accounts:</w:t>
            </w:r>
          </w:p>
        </w:tc>
        <w:tc>
          <w:tcPr>
            <w:tcW w:w="1998" w:type="dxa"/>
          </w:tcPr>
          <w:p w:rsidR="00A16914" w:rsidRDefault="00A16914" w:rsidP="00AC0881">
            <w:pPr>
              <w:keepNext/>
              <w:keepLines/>
              <w:spacing w:before="120" w:after="0" w:line="240" w:lineRule="auto"/>
              <w:jc w:val="right"/>
              <w:rPr>
                <w:rFonts w:ascii="Times New Roman" w:hAnsi="Times New Roman"/>
                <w:sz w:val="24"/>
              </w:rPr>
            </w:pPr>
          </w:p>
        </w:tc>
      </w:tr>
    </w:tbl>
    <w:p w:rsidR="00A16914" w:rsidRDefault="00A16914" w:rsidP="00AC0881">
      <w:pPr>
        <w:keepNext/>
        <w:keepLines/>
        <w:spacing w:after="0"/>
        <w:rPr>
          <w:rFonts w:ascii="Times New Roman" w:hAnsi="Times New Roman"/>
          <w:sz w:val="24"/>
        </w:rPr>
      </w:pPr>
    </w:p>
    <w:p w:rsidR="00715CE3" w:rsidRPr="00E23885" w:rsidRDefault="004E63AA" w:rsidP="000D6786">
      <w:pPr>
        <w:pStyle w:val="Default"/>
        <w:ind w:left="360"/>
        <w:jc w:val="both"/>
        <w:rPr>
          <w:color w:val="auto"/>
        </w:rPr>
      </w:pPr>
      <w:r>
        <w:rPr>
          <w:color w:val="auto"/>
        </w:rPr>
        <w:t>In addition, all applications shall (</w:t>
      </w:r>
      <w:proofErr w:type="spellStart"/>
      <w:r>
        <w:rPr>
          <w:color w:val="auto"/>
        </w:rPr>
        <w:t>i</w:t>
      </w:r>
      <w:proofErr w:type="spellEnd"/>
      <w:r>
        <w:rPr>
          <w:color w:val="auto"/>
        </w:rPr>
        <w:t xml:space="preserve">) include </w:t>
      </w:r>
      <w:r w:rsidRPr="00E23885">
        <w:rPr>
          <w:color w:val="auto"/>
        </w:rPr>
        <w:t>a narrative description of the services performed and the benefits of those services</w:t>
      </w:r>
      <w:r w:rsidR="00737AF3">
        <w:rPr>
          <w:color w:val="auto"/>
        </w:rPr>
        <w:t>;</w:t>
      </w:r>
      <w:r>
        <w:rPr>
          <w:color w:val="auto"/>
        </w:rPr>
        <w:t xml:space="preserve"> (ii) address the factors set forth in 11 U.S.C. § 330(a)(3); and (iii) a</w:t>
      </w:r>
      <w:r w:rsidR="00715CE3" w:rsidRPr="00E23885">
        <w:rPr>
          <w:color w:val="auto"/>
        </w:rPr>
        <w:t>ttach</w:t>
      </w:r>
      <w:r w:rsidR="00715CE3">
        <w:rPr>
          <w:color w:val="auto"/>
        </w:rPr>
        <w:t xml:space="preserve"> copies of all fee statements and a proposed form of order.</w:t>
      </w:r>
    </w:p>
    <w:p w:rsidR="00715CE3" w:rsidRPr="00E23885" w:rsidRDefault="00715CE3" w:rsidP="00715CE3">
      <w:pPr>
        <w:pStyle w:val="Default"/>
        <w:jc w:val="both"/>
        <w:rPr>
          <w:color w:val="auto"/>
        </w:rPr>
      </w:pPr>
    </w:p>
    <w:p w:rsidR="00715CE3" w:rsidRPr="006754EB" w:rsidRDefault="00715CE3" w:rsidP="00753183">
      <w:pPr>
        <w:pStyle w:val="ListParagraph"/>
        <w:keepNext/>
        <w:keepLines/>
        <w:numPr>
          <w:ilvl w:val="1"/>
          <w:numId w:val="4"/>
        </w:numPr>
        <w:jc w:val="both"/>
        <w:rPr>
          <w:rFonts w:ascii="Times New Roman" w:hAnsi="Times New Roman" w:cs="Times New Roman"/>
          <w:b/>
          <w:sz w:val="24"/>
          <w:szCs w:val="24"/>
          <w:u w:val="single"/>
        </w:rPr>
      </w:pPr>
      <w:r w:rsidRPr="006754EB">
        <w:rPr>
          <w:rFonts w:ascii="Times New Roman" w:hAnsi="Times New Roman" w:cs="Times New Roman"/>
          <w:b/>
          <w:bCs/>
          <w:sz w:val="24"/>
          <w:szCs w:val="24"/>
        </w:rPr>
        <w:t xml:space="preserve">Fee Applications in cases under chapters </w:t>
      </w:r>
      <w:r w:rsidR="004E63AA">
        <w:rPr>
          <w:rFonts w:ascii="Times New Roman" w:hAnsi="Times New Roman" w:cs="Times New Roman"/>
          <w:b/>
          <w:bCs/>
          <w:sz w:val="24"/>
          <w:szCs w:val="24"/>
        </w:rPr>
        <w:t xml:space="preserve">9, </w:t>
      </w:r>
      <w:r w:rsidRPr="006754EB">
        <w:rPr>
          <w:rFonts w:ascii="Times New Roman" w:hAnsi="Times New Roman" w:cs="Times New Roman"/>
          <w:b/>
          <w:bCs/>
          <w:sz w:val="24"/>
          <w:szCs w:val="24"/>
        </w:rPr>
        <w:t xml:space="preserve">11 or 12. </w:t>
      </w:r>
    </w:p>
    <w:p w:rsidR="00715CE3" w:rsidRDefault="004E63AA" w:rsidP="00AC0881">
      <w:pPr>
        <w:pStyle w:val="Default"/>
        <w:keepNext/>
        <w:keepLines/>
        <w:ind w:left="360"/>
        <w:jc w:val="both"/>
        <w:rPr>
          <w:color w:val="auto"/>
        </w:rPr>
      </w:pPr>
      <w:r w:rsidRPr="00E23885">
        <w:t>Applications for compensation and reimbursement in cases under chapter</w:t>
      </w:r>
      <w:r>
        <w:t>s 9, 11, or 12</w:t>
      </w:r>
      <w:r w:rsidRPr="00E23885">
        <w:t xml:space="preserve"> shall contain the following </w:t>
      </w:r>
      <w:r>
        <w:t xml:space="preserve">table </w:t>
      </w:r>
      <w:r w:rsidR="000D6786">
        <w:t xml:space="preserve">beginning on the first page of the application </w:t>
      </w:r>
      <w:r>
        <w:t>(a word document containing the table is available on the Court’s website):</w:t>
      </w:r>
      <w:r w:rsidR="00715CE3" w:rsidRPr="00E23885">
        <w:rPr>
          <w:color w:val="auto"/>
        </w:rPr>
        <w:t xml:space="preserve"> </w:t>
      </w:r>
    </w:p>
    <w:p w:rsidR="000D6786" w:rsidRDefault="000D6786" w:rsidP="00AC0881">
      <w:pPr>
        <w:pStyle w:val="Default"/>
        <w:keepNext/>
        <w:keepLines/>
        <w:ind w:left="360"/>
        <w:jc w:val="both"/>
        <w:rPr>
          <w:color w:val="auto"/>
        </w:rPr>
      </w:pPr>
    </w:p>
    <w:p w:rsidR="004E63AA" w:rsidRDefault="004E63AA" w:rsidP="00AC0881">
      <w:pPr>
        <w:keepNext/>
        <w:keepLines/>
        <w:spacing w:after="0"/>
        <w:jc w:val="center"/>
        <w:rPr>
          <w:rFonts w:ascii="Times New Roman" w:hAnsi="Times New Roman"/>
          <w:b/>
          <w:bCs/>
          <w:sz w:val="24"/>
          <w:u w:val="single"/>
        </w:rPr>
      </w:pPr>
      <w:r>
        <w:rPr>
          <w:rFonts w:ascii="Times New Roman" w:hAnsi="Times New Roman"/>
          <w:b/>
          <w:bCs/>
          <w:sz w:val="24"/>
          <w:u w:val="single"/>
        </w:rPr>
        <w:t>Fee Application Summary</w:t>
      </w:r>
    </w:p>
    <w:p w:rsidR="004E63AA" w:rsidRDefault="004E63AA" w:rsidP="00A84160">
      <w:pPr>
        <w:keepNext/>
        <w:keepLines/>
        <w:spacing w:after="0"/>
        <w:jc w:val="center"/>
        <w:rPr>
          <w:rFonts w:ascii="Times New Roman" w:hAnsi="Times New Roman"/>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2250"/>
        <w:gridCol w:w="2268"/>
      </w:tblGrid>
      <w:tr w:rsidR="004E63AA" w:rsidTr="006B05EE">
        <w:tc>
          <w:tcPr>
            <w:tcW w:w="5058" w:type="dxa"/>
          </w:tcPr>
          <w:p w:rsidR="004E63AA" w:rsidRDefault="004E63AA" w:rsidP="00A84160">
            <w:pPr>
              <w:keepNext/>
              <w:keepLines/>
              <w:spacing w:before="120" w:after="0"/>
              <w:rPr>
                <w:rFonts w:ascii="Times New Roman" w:hAnsi="Times New Roman"/>
                <w:b/>
                <w:bCs/>
                <w:sz w:val="24"/>
              </w:rPr>
            </w:pPr>
            <w:r>
              <w:rPr>
                <w:rFonts w:ascii="Times New Roman" w:hAnsi="Times New Roman"/>
                <w:b/>
                <w:bCs/>
                <w:sz w:val="24"/>
              </w:rPr>
              <w:t>Name of Applicant:</w:t>
            </w:r>
          </w:p>
        </w:tc>
        <w:tc>
          <w:tcPr>
            <w:tcW w:w="4518" w:type="dxa"/>
            <w:gridSpan w:val="2"/>
          </w:tcPr>
          <w:p w:rsidR="004E63AA" w:rsidRDefault="004E63AA" w:rsidP="00A84160">
            <w:pPr>
              <w:keepNext/>
              <w:keepLines/>
              <w:spacing w:before="120" w:after="0"/>
              <w:rPr>
                <w:rFonts w:ascii="Times New Roman" w:hAnsi="Times New Roman"/>
                <w:sz w:val="24"/>
                <w:u w:val="double"/>
              </w:rPr>
            </w:pPr>
          </w:p>
        </w:tc>
      </w:tr>
      <w:tr w:rsidR="004E63AA" w:rsidTr="006B05EE">
        <w:tc>
          <w:tcPr>
            <w:tcW w:w="5058" w:type="dxa"/>
          </w:tcPr>
          <w:p w:rsidR="004E63AA" w:rsidRDefault="004E63AA" w:rsidP="00A84160">
            <w:pPr>
              <w:keepNext/>
              <w:keepLines/>
              <w:spacing w:before="120" w:after="0"/>
              <w:rPr>
                <w:rFonts w:ascii="Times New Roman" w:hAnsi="Times New Roman"/>
                <w:b/>
                <w:bCs/>
                <w:sz w:val="24"/>
              </w:rPr>
            </w:pPr>
            <w:r>
              <w:rPr>
                <w:rFonts w:ascii="Times New Roman" w:hAnsi="Times New Roman"/>
                <w:b/>
                <w:bCs/>
                <w:sz w:val="24"/>
              </w:rPr>
              <w:t>Applicant’s Role in Case:</w:t>
            </w:r>
          </w:p>
        </w:tc>
        <w:tc>
          <w:tcPr>
            <w:tcW w:w="4518" w:type="dxa"/>
            <w:gridSpan w:val="2"/>
          </w:tcPr>
          <w:p w:rsidR="004E63AA" w:rsidRDefault="004E63AA" w:rsidP="00A84160">
            <w:pPr>
              <w:keepNext/>
              <w:keepLines/>
              <w:spacing w:before="120" w:after="0"/>
              <w:rPr>
                <w:rFonts w:ascii="Times New Roman" w:hAnsi="Times New Roman"/>
                <w:sz w:val="24"/>
              </w:rPr>
            </w:pPr>
          </w:p>
        </w:tc>
      </w:tr>
      <w:tr w:rsidR="004E63AA" w:rsidTr="006B05EE">
        <w:tc>
          <w:tcPr>
            <w:tcW w:w="5058" w:type="dxa"/>
          </w:tcPr>
          <w:p w:rsidR="004E63AA" w:rsidRDefault="004E63AA" w:rsidP="004E63AA">
            <w:pPr>
              <w:spacing w:before="120" w:after="0"/>
              <w:rPr>
                <w:rFonts w:ascii="Times New Roman" w:hAnsi="Times New Roman"/>
                <w:b/>
                <w:bCs/>
                <w:sz w:val="24"/>
              </w:rPr>
            </w:pPr>
            <w:r>
              <w:rPr>
                <w:rFonts w:ascii="Times New Roman" w:hAnsi="Times New Roman"/>
                <w:b/>
                <w:bCs/>
                <w:sz w:val="24"/>
              </w:rPr>
              <w:t>Date Order of Employment Signed:</w:t>
            </w:r>
          </w:p>
        </w:tc>
        <w:tc>
          <w:tcPr>
            <w:tcW w:w="4518" w:type="dxa"/>
            <w:gridSpan w:val="2"/>
            <w:tcBorders>
              <w:bottom w:val="single" w:sz="4" w:space="0" w:color="auto"/>
            </w:tcBorders>
          </w:tcPr>
          <w:p w:rsidR="004E63AA" w:rsidRDefault="004E63AA" w:rsidP="004E63AA">
            <w:pPr>
              <w:spacing w:before="120" w:after="0"/>
              <w:rPr>
                <w:rFonts w:ascii="Times New Roman" w:hAnsi="Times New Roman"/>
                <w:sz w:val="24"/>
              </w:rPr>
            </w:pPr>
            <w:proofErr w:type="gramStart"/>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roofErr w:type="gramEnd"/>
            <w:r>
              <w:rPr>
                <w:rFonts w:ascii="Times New Roman" w:hAnsi="Times New Roman"/>
                <w:sz w:val="24"/>
              </w:rPr>
              <w:t xml:space="preserve"> [Docket No. __] </w:t>
            </w:r>
          </w:p>
        </w:tc>
      </w:tr>
      <w:tr w:rsidR="004E63AA" w:rsidTr="006B05EE">
        <w:tc>
          <w:tcPr>
            <w:tcW w:w="5058" w:type="dxa"/>
          </w:tcPr>
          <w:p w:rsidR="004E63AA" w:rsidRDefault="004E63AA" w:rsidP="004E63AA">
            <w:pPr>
              <w:spacing w:before="120" w:after="0"/>
              <w:rPr>
                <w:rFonts w:ascii="Times New Roman" w:hAnsi="Times New Roman"/>
                <w:sz w:val="24"/>
              </w:rPr>
            </w:pPr>
          </w:p>
        </w:tc>
        <w:tc>
          <w:tcPr>
            <w:tcW w:w="2250" w:type="dxa"/>
            <w:shd w:val="clear" w:color="auto" w:fill="D9D9D9"/>
          </w:tcPr>
          <w:p w:rsidR="004E63AA" w:rsidRPr="00AC0881" w:rsidRDefault="004E63AA" w:rsidP="004E63AA">
            <w:pPr>
              <w:spacing w:before="120" w:after="0"/>
              <w:rPr>
                <w:rFonts w:ascii="Times New Roman" w:hAnsi="Times New Roman"/>
                <w:b/>
                <w:bCs/>
              </w:rPr>
            </w:pPr>
            <w:r w:rsidRPr="00AC0881">
              <w:rPr>
                <w:rFonts w:ascii="Times New Roman" w:hAnsi="Times New Roman"/>
                <w:b/>
                <w:bCs/>
              </w:rPr>
              <w:t>Beginning of Period</w:t>
            </w:r>
          </w:p>
        </w:tc>
        <w:tc>
          <w:tcPr>
            <w:tcW w:w="2268" w:type="dxa"/>
            <w:shd w:val="clear" w:color="auto" w:fill="D9D9D9"/>
          </w:tcPr>
          <w:p w:rsidR="004E63AA" w:rsidRDefault="004E63AA" w:rsidP="004E63AA">
            <w:pPr>
              <w:spacing w:before="120" w:after="0"/>
              <w:rPr>
                <w:rFonts w:ascii="Times New Roman" w:hAnsi="Times New Roman"/>
                <w:b/>
                <w:bCs/>
                <w:sz w:val="24"/>
              </w:rPr>
            </w:pPr>
            <w:r>
              <w:rPr>
                <w:rFonts w:ascii="Times New Roman" w:hAnsi="Times New Roman"/>
                <w:b/>
                <w:bCs/>
                <w:sz w:val="24"/>
              </w:rPr>
              <w:t>End of Period</w:t>
            </w:r>
          </w:p>
        </w:tc>
      </w:tr>
      <w:tr w:rsidR="004E63AA" w:rsidTr="006B05EE">
        <w:tc>
          <w:tcPr>
            <w:tcW w:w="5058" w:type="dxa"/>
          </w:tcPr>
          <w:p w:rsidR="004E63AA" w:rsidRDefault="004E63AA" w:rsidP="004E63AA">
            <w:pPr>
              <w:spacing w:before="120" w:after="0"/>
              <w:rPr>
                <w:rFonts w:ascii="Times New Roman" w:hAnsi="Times New Roman"/>
                <w:b/>
                <w:bCs/>
                <w:sz w:val="24"/>
              </w:rPr>
            </w:pPr>
            <w:r>
              <w:rPr>
                <w:rFonts w:ascii="Times New Roman" w:hAnsi="Times New Roman"/>
                <w:b/>
                <w:bCs/>
                <w:sz w:val="24"/>
              </w:rPr>
              <w:t>Time period covered by this Application:</w:t>
            </w:r>
          </w:p>
        </w:tc>
        <w:tc>
          <w:tcPr>
            <w:tcW w:w="2250" w:type="dxa"/>
          </w:tcPr>
          <w:p w:rsidR="004E63AA" w:rsidRDefault="004E63AA" w:rsidP="004E63AA">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c>
          <w:tcPr>
            <w:tcW w:w="2268" w:type="dxa"/>
          </w:tcPr>
          <w:p w:rsidR="004E63AA" w:rsidRDefault="004E63AA" w:rsidP="004E63AA">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r>
      <w:tr w:rsidR="004E63AA" w:rsidTr="006B05EE">
        <w:tc>
          <w:tcPr>
            <w:tcW w:w="5058" w:type="dxa"/>
          </w:tcPr>
          <w:p w:rsidR="004E63AA" w:rsidRDefault="004E63AA" w:rsidP="004E63AA">
            <w:pPr>
              <w:spacing w:before="120" w:after="0"/>
              <w:rPr>
                <w:rFonts w:ascii="Times New Roman" w:hAnsi="Times New Roman"/>
                <w:b/>
                <w:bCs/>
                <w:sz w:val="24"/>
              </w:rPr>
            </w:pPr>
            <w:r>
              <w:rPr>
                <w:rFonts w:ascii="Times New Roman" w:hAnsi="Times New Roman"/>
                <w:b/>
                <w:bCs/>
                <w:sz w:val="24"/>
              </w:rPr>
              <w:t>Time period(s) covered by prior Applications:</w:t>
            </w:r>
          </w:p>
        </w:tc>
        <w:tc>
          <w:tcPr>
            <w:tcW w:w="2250" w:type="dxa"/>
          </w:tcPr>
          <w:p w:rsidR="004E63AA" w:rsidRDefault="004E63AA" w:rsidP="004E63AA">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c>
          <w:tcPr>
            <w:tcW w:w="2268" w:type="dxa"/>
          </w:tcPr>
          <w:p w:rsidR="004E63AA" w:rsidRDefault="004E63AA" w:rsidP="004E63AA">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amounts awarded in all prior Applications:</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fees requested in this Application:</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professional fees requested in this Application:</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actual professional hours covered by this Application:</w:t>
            </w:r>
          </w:p>
        </w:tc>
        <w:tc>
          <w:tcPr>
            <w:tcW w:w="2268" w:type="dxa"/>
          </w:tcPr>
          <w:p w:rsidR="004E63AA" w:rsidRDefault="004E63AA" w:rsidP="004E63AA">
            <w:pPr>
              <w:spacing w:before="120" w:after="0"/>
              <w:jc w:val="right"/>
              <w:rPr>
                <w:rFonts w:ascii="Times New Roman" w:hAnsi="Times New Roman"/>
                <w:sz w:val="24"/>
              </w:rPr>
            </w:pP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Average hourly rate for professionals:</w:t>
            </w:r>
          </w:p>
        </w:tc>
        <w:tc>
          <w:tcPr>
            <w:tcW w:w="2268" w:type="dxa"/>
          </w:tcPr>
          <w:p w:rsidR="004E63AA" w:rsidRDefault="004E63AA" w:rsidP="004E63AA">
            <w:pPr>
              <w:spacing w:before="120" w:after="0"/>
              <w:jc w:val="right"/>
              <w:rPr>
                <w:rFonts w:ascii="Times New Roman" w:hAnsi="Times New Roman"/>
                <w:sz w:val="24"/>
              </w:rPr>
            </w:pPr>
            <w:bookmarkStart w:id="0" w:name="OLE_LINK3"/>
            <w:bookmarkStart w:id="1" w:name="OLE_LINK4"/>
            <w:r>
              <w:rPr>
                <w:rFonts w:ascii="Times New Roman" w:hAnsi="Times New Roman"/>
                <w:sz w:val="24"/>
              </w:rPr>
              <w:t>$</w:t>
            </w:r>
            <w:bookmarkEnd w:id="0"/>
            <w:bookmarkEnd w:id="1"/>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paraprofessional fees requested in this Application:</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actual paraprofessional hours covered by this Application:</w:t>
            </w:r>
          </w:p>
        </w:tc>
        <w:tc>
          <w:tcPr>
            <w:tcW w:w="2268" w:type="dxa"/>
          </w:tcPr>
          <w:p w:rsidR="004E63AA" w:rsidRDefault="004E63AA" w:rsidP="004E63AA">
            <w:pPr>
              <w:spacing w:before="120" w:after="0"/>
              <w:jc w:val="right"/>
              <w:rPr>
                <w:rFonts w:ascii="Times New Roman" w:hAnsi="Times New Roman"/>
                <w:sz w:val="24"/>
              </w:rPr>
            </w:pP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Average hourly rate for paraprofessionals:</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Reimbursable expenses sought in this application:</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to be Paid to Priority Unsecured Creditors:</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Anticipated % Dividend to Priority Unsecured Creditors:</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Total to be Paid to General Unsecured Creditors:</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w:t>
            </w: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Anticipated % Dividend to General Unsecured Creditors:</w:t>
            </w:r>
          </w:p>
        </w:tc>
        <w:tc>
          <w:tcPr>
            <w:tcW w:w="2268" w:type="dxa"/>
          </w:tcPr>
          <w:p w:rsidR="004E63AA" w:rsidRDefault="004E63AA" w:rsidP="004E63AA">
            <w:pPr>
              <w:spacing w:before="120" w:after="0"/>
              <w:jc w:val="right"/>
              <w:rPr>
                <w:rFonts w:ascii="Times New Roman" w:hAnsi="Times New Roman"/>
                <w:sz w:val="24"/>
              </w:rPr>
            </w:pP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Date of Confirmation Hearing:</w:t>
            </w:r>
          </w:p>
        </w:tc>
        <w:tc>
          <w:tcPr>
            <w:tcW w:w="2268" w:type="dxa"/>
          </w:tcPr>
          <w:p w:rsidR="004E63AA" w:rsidRDefault="004E63AA" w:rsidP="004E63AA">
            <w:pPr>
              <w:spacing w:before="120" w:after="0"/>
              <w:jc w:val="right"/>
              <w:rPr>
                <w:rFonts w:ascii="Times New Roman" w:hAnsi="Times New Roman"/>
                <w:sz w:val="24"/>
              </w:rPr>
            </w:pPr>
          </w:p>
        </w:tc>
      </w:tr>
      <w:tr w:rsidR="004E63AA" w:rsidTr="006B05EE">
        <w:tc>
          <w:tcPr>
            <w:tcW w:w="7308" w:type="dxa"/>
            <w:gridSpan w:val="2"/>
          </w:tcPr>
          <w:p w:rsidR="004E63AA" w:rsidRDefault="004E63AA" w:rsidP="004E63AA">
            <w:pPr>
              <w:spacing w:before="120" w:after="0"/>
              <w:rPr>
                <w:rFonts w:ascii="Times New Roman" w:hAnsi="Times New Roman"/>
                <w:b/>
                <w:bCs/>
                <w:sz w:val="24"/>
              </w:rPr>
            </w:pPr>
            <w:r>
              <w:rPr>
                <w:rFonts w:ascii="Times New Roman" w:hAnsi="Times New Roman"/>
                <w:b/>
                <w:bCs/>
                <w:sz w:val="24"/>
              </w:rPr>
              <w:t>Indicate whether plan has been confirmed:</w:t>
            </w:r>
          </w:p>
        </w:tc>
        <w:tc>
          <w:tcPr>
            <w:tcW w:w="2268" w:type="dxa"/>
          </w:tcPr>
          <w:p w:rsidR="004E63AA" w:rsidRDefault="004E63AA" w:rsidP="004E63AA">
            <w:pPr>
              <w:spacing w:before="120" w:after="0"/>
              <w:jc w:val="right"/>
              <w:rPr>
                <w:rFonts w:ascii="Times New Roman" w:hAnsi="Times New Roman"/>
                <w:sz w:val="24"/>
              </w:rPr>
            </w:pPr>
            <w:r>
              <w:rPr>
                <w:rFonts w:ascii="Times New Roman" w:hAnsi="Times New Roman"/>
                <w:sz w:val="24"/>
              </w:rPr>
              <w:t>Y/N (Docket No. __)</w:t>
            </w:r>
          </w:p>
        </w:tc>
      </w:tr>
    </w:tbl>
    <w:p w:rsidR="0040072E" w:rsidRDefault="0040072E" w:rsidP="000D6786">
      <w:pPr>
        <w:pStyle w:val="Default"/>
        <w:ind w:left="360"/>
        <w:jc w:val="both"/>
        <w:rPr>
          <w:color w:val="auto"/>
        </w:rPr>
      </w:pPr>
    </w:p>
    <w:p w:rsidR="004E63AA" w:rsidRPr="00E23885" w:rsidRDefault="004E63AA" w:rsidP="000D6786">
      <w:pPr>
        <w:pStyle w:val="Default"/>
        <w:ind w:left="360"/>
        <w:jc w:val="both"/>
        <w:rPr>
          <w:color w:val="auto"/>
        </w:rPr>
      </w:pPr>
      <w:r>
        <w:rPr>
          <w:color w:val="auto"/>
        </w:rPr>
        <w:t>In addition, all applications shall (</w:t>
      </w:r>
      <w:proofErr w:type="spellStart"/>
      <w:r>
        <w:rPr>
          <w:color w:val="auto"/>
        </w:rPr>
        <w:t>i</w:t>
      </w:r>
      <w:proofErr w:type="spellEnd"/>
      <w:r>
        <w:rPr>
          <w:color w:val="auto"/>
        </w:rPr>
        <w:t xml:space="preserve">) include </w:t>
      </w:r>
      <w:r w:rsidRPr="00E23885">
        <w:rPr>
          <w:color w:val="auto"/>
        </w:rPr>
        <w:t>a narrative description of the services performed and the benefits of those services</w:t>
      </w:r>
      <w:r w:rsidR="00737AF3">
        <w:rPr>
          <w:color w:val="auto"/>
        </w:rPr>
        <w:t>;</w:t>
      </w:r>
      <w:r>
        <w:rPr>
          <w:color w:val="auto"/>
        </w:rPr>
        <w:t xml:space="preserve"> (ii) address the factors set forth in 11 U.S.C. § 330(a)(3); and (iii) a</w:t>
      </w:r>
      <w:r w:rsidRPr="00E23885">
        <w:rPr>
          <w:color w:val="auto"/>
        </w:rPr>
        <w:t>ttach</w:t>
      </w:r>
      <w:r>
        <w:rPr>
          <w:color w:val="auto"/>
        </w:rPr>
        <w:t xml:space="preserve"> copies of all fee statements and a proposed form of order.</w:t>
      </w:r>
    </w:p>
    <w:p w:rsidR="00715CE3" w:rsidRPr="006754EB" w:rsidRDefault="006754EB" w:rsidP="00753183">
      <w:pPr>
        <w:pStyle w:val="ListParagraph"/>
        <w:keepNext/>
        <w:keepLines/>
        <w:numPr>
          <w:ilvl w:val="1"/>
          <w:numId w:val="4"/>
        </w:numPr>
        <w:jc w:val="both"/>
        <w:rPr>
          <w:rFonts w:ascii="Times New Roman" w:hAnsi="Times New Roman" w:cs="Times New Roman"/>
          <w:sz w:val="24"/>
          <w:szCs w:val="24"/>
        </w:rPr>
      </w:pPr>
      <w:r w:rsidRPr="006754EB">
        <w:rPr>
          <w:rFonts w:ascii="Times New Roman" w:hAnsi="Times New Roman" w:cs="Times New Roman"/>
          <w:b/>
          <w:sz w:val="24"/>
          <w:szCs w:val="24"/>
        </w:rPr>
        <w:t>F</w:t>
      </w:r>
      <w:r w:rsidR="00715CE3" w:rsidRPr="006754EB">
        <w:rPr>
          <w:rFonts w:ascii="Times New Roman" w:hAnsi="Times New Roman" w:cs="Times New Roman"/>
          <w:b/>
          <w:bCs/>
          <w:sz w:val="24"/>
          <w:szCs w:val="24"/>
        </w:rPr>
        <w:t xml:space="preserve">ee Applications in cases under chapter 13. </w:t>
      </w:r>
    </w:p>
    <w:p w:rsidR="00715CE3" w:rsidRDefault="00715CE3" w:rsidP="00A84160">
      <w:pPr>
        <w:pStyle w:val="Default"/>
        <w:keepNext/>
        <w:keepLines/>
        <w:ind w:left="360"/>
        <w:jc w:val="both"/>
        <w:rPr>
          <w:color w:val="auto"/>
        </w:rPr>
      </w:pPr>
      <w:r w:rsidRPr="00E23885">
        <w:rPr>
          <w:color w:val="auto"/>
        </w:rPr>
        <w:t xml:space="preserve">Pursuant to the local rules on fee applications, approved </w:t>
      </w:r>
      <w:r w:rsidRPr="00E23885">
        <w:rPr>
          <w:i/>
          <w:iCs/>
          <w:color w:val="auto"/>
        </w:rPr>
        <w:t xml:space="preserve">fixed fee applications </w:t>
      </w:r>
      <w:r w:rsidRPr="00E23885">
        <w:rPr>
          <w:color w:val="auto"/>
        </w:rPr>
        <w:t xml:space="preserve">do not require the filing of subsequent applications. Otherwise, applications for compensation and reimbursement in cases under chapter 13 shall contain the following </w:t>
      </w:r>
      <w:r w:rsidR="000D6786">
        <w:rPr>
          <w:color w:val="auto"/>
        </w:rPr>
        <w:t>table</w:t>
      </w:r>
      <w:r w:rsidR="000D6786" w:rsidRPr="000D6786">
        <w:t xml:space="preserve"> </w:t>
      </w:r>
      <w:r w:rsidR="000D6786">
        <w:t>beginning on the first page of the application</w:t>
      </w:r>
      <w:r w:rsidR="00737AF3">
        <w:t xml:space="preserve"> (a word document containing the table is available on the Court’s website)</w:t>
      </w:r>
      <w:r w:rsidRPr="00E23885">
        <w:rPr>
          <w:color w:val="auto"/>
        </w:rPr>
        <w:t xml:space="preserve">. </w:t>
      </w:r>
    </w:p>
    <w:p w:rsidR="000D6786" w:rsidRDefault="000D6786" w:rsidP="000D6786">
      <w:pPr>
        <w:pStyle w:val="Default"/>
        <w:ind w:left="360"/>
        <w:jc w:val="both"/>
        <w:rPr>
          <w:color w:val="auto"/>
        </w:rPr>
      </w:pPr>
    </w:p>
    <w:p w:rsidR="000D6786" w:rsidRDefault="000D6786" w:rsidP="00203D4F">
      <w:pPr>
        <w:keepNext/>
        <w:keepLines/>
        <w:spacing w:after="0"/>
        <w:jc w:val="center"/>
        <w:rPr>
          <w:rFonts w:ascii="Times New Roman" w:hAnsi="Times New Roman"/>
          <w:b/>
          <w:bCs/>
          <w:sz w:val="24"/>
          <w:u w:val="single"/>
        </w:rPr>
      </w:pPr>
      <w:r>
        <w:rPr>
          <w:rFonts w:ascii="Times New Roman" w:hAnsi="Times New Roman"/>
          <w:b/>
          <w:bCs/>
          <w:sz w:val="24"/>
          <w:u w:val="single"/>
        </w:rPr>
        <w:t>Fee Application Summary</w:t>
      </w:r>
    </w:p>
    <w:p w:rsidR="000D6786" w:rsidRDefault="000D6786" w:rsidP="00203D4F">
      <w:pPr>
        <w:pStyle w:val="Default"/>
        <w:keepNext/>
        <w:keepLines/>
        <w:ind w:left="36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2250"/>
        <w:gridCol w:w="2268"/>
      </w:tblGrid>
      <w:tr w:rsidR="000D6786" w:rsidTr="000D6786">
        <w:tc>
          <w:tcPr>
            <w:tcW w:w="5058" w:type="dxa"/>
          </w:tcPr>
          <w:p w:rsidR="000D6786" w:rsidRDefault="000D6786" w:rsidP="00203D4F">
            <w:pPr>
              <w:keepNext/>
              <w:keepLines/>
              <w:spacing w:before="120" w:after="0"/>
              <w:rPr>
                <w:rFonts w:ascii="Times New Roman" w:hAnsi="Times New Roman"/>
                <w:b/>
                <w:bCs/>
                <w:sz w:val="24"/>
              </w:rPr>
            </w:pPr>
            <w:r>
              <w:rPr>
                <w:rFonts w:ascii="Times New Roman" w:hAnsi="Times New Roman"/>
                <w:b/>
                <w:bCs/>
                <w:sz w:val="24"/>
              </w:rPr>
              <w:t>Name of Applicant:</w:t>
            </w:r>
          </w:p>
        </w:tc>
        <w:tc>
          <w:tcPr>
            <w:tcW w:w="4518" w:type="dxa"/>
            <w:gridSpan w:val="2"/>
          </w:tcPr>
          <w:p w:rsidR="000D6786" w:rsidRDefault="000D6786" w:rsidP="00203D4F">
            <w:pPr>
              <w:keepNext/>
              <w:keepLines/>
              <w:spacing w:before="120" w:after="0"/>
              <w:rPr>
                <w:rFonts w:ascii="Times New Roman" w:hAnsi="Times New Roman"/>
                <w:sz w:val="24"/>
                <w:u w:val="double"/>
              </w:rPr>
            </w:pPr>
          </w:p>
        </w:tc>
      </w:tr>
      <w:tr w:rsidR="000D6786" w:rsidTr="000D6786">
        <w:tc>
          <w:tcPr>
            <w:tcW w:w="5058" w:type="dxa"/>
          </w:tcPr>
          <w:p w:rsidR="000D6786" w:rsidRDefault="000D6786" w:rsidP="00203D4F">
            <w:pPr>
              <w:keepNext/>
              <w:keepLines/>
              <w:spacing w:before="120" w:after="0"/>
              <w:rPr>
                <w:rFonts w:ascii="Times New Roman" w:hAnsi="Times New Roman"/>
                <w:b/>
                <w:bCs/>
                <w:sz w:val="24"/>
              </w:rPr>
            </w:pPr>
            <w:r>
              <w:rPr>
                <w:rFonts w:ascii="Times New Roman" w:hAnsi="Times New Roman"/>
                <w:b/>
                <w:bCs/>
                <w:sz w:val="24"/>
              </w:rPr>
              <w:t>Applicant’s Role in Case:</w:t>
            </w:r>
          </w:p>
        </w:tc>
        <w:tc>
          <w:tcPr>
            <w:tcW w:w="4518" w:type="dxa"/>
            <w:gridSpan w:val="2"/>
          </w:tcPr>
          <w:p w:rsidR="000D6786" w:rsidRDefault="000D6786" w:rsidP="00203D4F">
            <w:pPr>
              <w:keepNext/>
              <w:keepLines/>
              <w:spacing w:before="120" w:after="0"/>
              <w:rPr>
                <w:rFonts w:ascii="Times New Roman" w:hAnsi="Times New Roman"/>
                <w:sz w:val="24"/>
              </w:rPr>
            </w:pPr>
          </w:p>
        </w:tc>
      </w:tr>
      <w:tr w:rsidR="000D6786" w:rsidTr="000D6786">
        <w:tc>
          <w:tcPr>
            <w:tcW w:w="5058" w:type="dxa"/>
          </w:tcPr>
          <w:p w:rsidR="000D6786" w:rsidRDefault="000D6786" w:rsidP="000D6786">
            <w:pPr>
              <w:spacing w:before="120" w:after="0"/>
              <w:rPr>
                <w:rFonts w:ascii="Times New Roman" w:hAnsi="Times New Roman"/>
                <w:b/>
                <w:bCs/>
                <w:sz w:val="24"/>
              </w:rPr>
            </w:pPr>
            <w:r>
              <w:rPr>
                <w:rFonts w:ascii="Times New Roman" w:hAnsi="Times New Roman"/>
                <w:b/>
                <w:bCs/>
                <w:sz w:val="24"/>
              </w:rPr>
              <w:t>Pre-Confirmation Services [_____]</w:t>
            </w:r>
          </w:p>
        </w:tc>
        <w:tc>
          <w:tcPr>
            <w:tcW w:w="4518" w:type="dxa"/>
            <w:gridSpan w:val="2"/>
          </w:tcPr>
          <w:p w:rsidR="000D6786" w:rsidRDefault="000D6786" w:rsidP="000D6786">
            <w:pPr>
              <w:spacing w:before="120" w:after="0"/>
              <w:rPr>
                <w:rFonts w:ascii="Times New Roman" w:hAnsi="Times New Roman"/>
                <w:sz w:val="24"/>
              </w:rPr>
            </w:pPr>
            <w:r>
              <w:rPr>
                <w:rFonts w:ascii="Times New Roman" w:hAnsi="Times New Roman"/>
                <w:b/>
                <w:bCs/>
                <w:sz w:val="24"/>
              </w:rPr>
              <w:t>Post-Confirmation Services [_____]</w:t>
            </w:r>
          </w:p>
        </w:tc>
      </w:tr>
      <w:tr w:rsidR="000D6786" w:rsidTr="000D6786">
        <w:tc>
          <w:tcPr>
            <w:tcW w:w="5058" w:type="dxa"/>
          </w:tcPr>
          <w:p w:rsidR="000D6786" w:rsidRDefault="000D6786" w:rsidP="000D6786">
            <w:pPr>
              <w:spacing w:before="120" w:after="0"/>
              <w:rPr>
                <w:rFonts w:ascii="Times New Roman" w:hAnsi="Times New Roman"/>
                <w:sz w:val="24"/>
              </w:rPr>
            </w:pPr>
          </w:p>
        </w:tc>
        <w:tc>
          <w:tcPr>
            <w:tcW w:w="2250" w:type="dxa"/>
            <w:shd w:val="clear" w:color="auto" w:fill="D9D9D9"/>
          </w:tcPr>
          <w:p w:rsidR="000D6786" w:rsidRPr="00AC0881" w:rsidRDefault="000D6786" w:rsidP="000D6786">
            <w:pPr>
              <w:spacing w:before="120" w:after="0"/>
              <w:rPr>
                <w:rFonts w:ascii="Times New Roman" w:hAnsi="Times New Roman"/>
                <w:b/>
                <w:bCs/>
              </w:rPr>
            </w:pPr>
            <w:r w:rsidRPr="00AC0881">
              <w:rPr>
                <w:rFonts w:ascii="Times New Roman" w:hAnsi="Times New Roman"/>
                <w:b/>
                <w:bCs/>
              </w:rPr>
              <w:t>Beginning of Period</w:t>
            </w:r>
          </w:p>
        </w:tc>
        <w:tc>
          <w:tcPr>
            <w:tcW w:w="2268" w:type="dxa"/>
            <w:shd w:val="clear" w:color="auto" w:fill="D9D9D9"/>
          </w:tcPr>
          <w:p w:rsidR="000D6786" w:rsidRDefault="000D6786" w:rsidP="000D6786">
            <w:pPr>
              <w:spacing w:before="120" w:after="0"/>
              <w:rPr>
                <w:rFonts w:ascii="Times New Roman" w:hAnsi="Times New Roman"/>
                <w:b/>
                <w:bCs/>
                <w:sz w:val="24"/>
              </w:rPr>
            </w:pPr>
            <w:r>
              <w:rPr>
                <w:rFonts w:ascii="Times New Roman" w:hAnsi="Times New Roman"/>
                <w:b/>
                <w:bCs/>
                <w:sz w:val="24"/>
              </w:rPr>
              <w:t>End of Period</w:t>
            </w:r>
          </w:p>
        </w:tc>
      </w:tr>
      <w:tr w:rsidR="000D6786" w:rsidTr="000D6786">
        <w:tc>
          <w:tcPr>
            <w:tcW w:w="5058" w:type="dxa"/>
          </w:tcPr>
          <w:p w:rsidR="000D6786" w:rsidRDefault="000D6786" w:rsidP="000D6786">
            <w:pPr>
              <w:spacing w:before="120" w:after="0"/>
              <w:rPr>
                <w:rFonts w:ascii="Times New Roman" w:hAnsi="Times New Roman"/>
                <w:b/>
                <w:bCs/>
                <w:sz w:val="24"/>
              </w:rPr>
            </w:pPr>
            <w:r>
              <w:rPr>
                <w:rFonts w:ascii="Times New Roman" w:hAnsi="Times New Roman"/>
                <w:b/>
                <w:bCs/>
                <w:sz w:val="24"/>
              </w:rPr>
              <w:t>Time period covered by this Application:</w:t>
            </w:r>
          </w:p>
        </w:tc>
        <w:tc>
          <w:tcPr>
            <w:tcW w:w="2250" w:type="dxa"/>
          </w:tcPr>
          <w:p w:rsidR="000D6786" w:rsidRDefault="000D6786" w:rsidP="000D6786">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c>
          <w:tcPr>
            <w:tcW w:w="2268" w:type="dxa"/>
          </w:tcPr>
          <w:p w:rsidR="000D6786" w:rsidRDefault="000D6786" w:rsidP="000D6786">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r>
      <w:tr w:rsidR="000D6786" w:rsidTr="000D6786">
        <w:tc>
          <w:tcPr>
            <w:tcW w:w="5058" w:type="dxa"/>
          </w:tcPr>
          <w:p w:rsidR="000D6786" w:rsidRDefault="000D6786" w:rsidP="000D6786">
            <w:pPr>
              <w:spacing w:before="120" w:after="0"/>
              <w:rPr>
                <w:rFonts w:ascii="Times New Roman" w:hAnsi="Times New Roman"/>
                <w:b/>
                <w:bCs/>
                <w:sz w:val="24"/>
              </w:rPr>
            </w:pPr>
            <w:r>
              <w:rPr>
                <w:rFonts w:ascii="Times New Roman" w:hAnsi="Times New Roman"/>
                <w:b/>
                <w:bCs/>
                <w:sz w:val="24"/>
              </w:rPr>
              <w:t>Time period(s) covered by prior Applications:</w:t>
            </w:r>
          </w:p>
        </w:tc>
        <w:tc>
          <w:tcPr>
            <w:tcW w:w="2250" w:type="dxa"/>
          </w:tcPr>
          <w:p w:rsidR="000D6786" w:rsidRDefault="000D6786" w:rsidP="000D6786">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c>
          <w:tcPr>
            <w:tcW w:w="2268" w:type="dxa"/>
          </w:tcPr>
          <w:p w:rsidR="000D6786" w:rsidRDefault="000D6786" w:rsidP="000D6786">
            <w:pPr>
              <w:spacing w:before="120" w:after="0"/>
              <w:jc w:val="center"/>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amounts awarded in all prior Applications:</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42365B" w:rsidTr="000D6786">
        <w:tc>
          <w:tcPr>
            <w:tcW w:w="7308" w:type="dxa"/>
            <w:gridSpan w:val="2"/>
          </w:tcPr>
          <w:p w:rsidR="0042365B" w:rsidRDefault="0042365B" w:rsidP="0042365B">
            <w:pPr>
              <w:spacing w:before="120" w:after="0"/>
              <w:rPr>
                <w:rFonts w:ascii="Times New Roman" w:hAnsi="Times New Roman"/>
                <w:b/>
                <w:bCs/>
                <w:sz w:val="24"/>
              </w:rPr>
            </w:pPr>
            <w:r>
              <w:rPr>
                <w:rFonts w:ascii="Times New Roman" w:hAnsi="Times New Roman"/>
                <w:b/>
                <w:bCs/>
                <w:sz w:val="24"/>
              </w:rPr>
              <w:t>Amount of retainer received in this case:</w:t>
            </w:r>
          </w:p>
        </w:tc>
        <w:tc>
          <w:tcPr>
            <w:tcW w:w="2268" w:type="dxa"/>
          </w:tcPr>
          <w:p w:rsidR="0042365B" w:rsidRDefault="0042365B"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fees requested in this Application:</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professional fees requested in this Application:</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actual professional hours covered by this Application:</w:t>
            </w:r>
          </w:p>
        </w:tc>
        <w:tc>
          <w:tcPr>
            <w:tcW w:w="2268" w:type="dxa"/>
          </w:tcPr>
          <w:p w:rsidR="000D6786" w:rsidRDefault="000D6786" w:rsidP="000D6786">
            <w:pPr>
              <w:spacing w:before="120" w:after="0"/>
              <w:jc w:val="right"/>
              <w:rPr>
                <w:rFonts w:ascii="Times New Roman" w:hAnsi="Times New Roman"/>
                <w:sz w:val="24"/>
              </w:rPr>
            </w:pP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Average hourly rate for professionals:</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paraprofessional fees requested in this Application:</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actual paraprofessional hours covered by this Application:</w:t>
            </w:r>
          </w:p>
        </w:tc>
        <w:tc>
          <w:tcPr>
            <w:tcW w:w="2268" w:type="dxa"/>
          </w:tcPr>
          <w:p w:rsidR="000D6786" w:rsidRDefault="000D6786" w:rsidP="000D6786">
            <w:pPr>
              <w:spacing w:before="120" w:after="0"/>
              <w:jc w:val="right"/>
              <w:rPr>
                <w:rFonts w:ascii="Times New Roman" w:hAnsi="Times New Roman"/>
                <w:sz w:val="24"/>
              </w:rPr>
            </w:pP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Average hourly rate for paraprofessionals:</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Reimbursable expenses sought in this application:</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42365B" w:rsidP="0042365B">
            <w:pPr>
              <w:spacing w:before="120" w:after="0"/>
              <w:rPr>
                <w:rFonts w:ascii="Times New Roman" w:hAnsi="Times New Roman"/>
                <w:b/>
                <w:bCs/>
                <w:sz w:val="24"/>
              </w:rPr>
            </w:pPr>
            <w:r>
              <w:rPr>
                <w:rFonts w:ascii="Times New Roman" w:hAnsi="Times New Roman"/>
                <w:b/>
                <w:bCs/>
                <w:sz w:val="24"/>
              </w:rPr>
              <w:t>Amount of Attorney Fees provided in Plan:</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Total to be Paid to General Unsecured Creditors:</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w:t>
            </w:r>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Anticipated % Dividend to General Unsecured Creditors:</w:t>
            </w:r>
          </w:p>
        </w:tc>
        <w:tc>
          <w:tcPr>
            <w:tcW w:w="2268" w:type="dxa"/>
          </w:tcPr>
          <w:p w:rsidR="000D6786" w:rsidRDefault="0042365B" w:rsidP="000D6786">
            <w:pPr>
              <w:spacing w:before="120" w:after="0"/>
              <w:jc w:val="right"/>
              <w:rPr>
                <w:rFonts w:ascii="Times New Roman" w:hAnsi="Times New Roman"/>
                <w:sz w:val="24"/>
              </w:rPr>
            </w:pPr>
            <w:r>
              <w:rPr>
                <w:rFonts w:ascii="Times New Roman" w:hAnsi="Times New Roman"/>
                <w:sz w:val="24"/>
              </w:rPr>
              <w:t>%</w:t>
            </w:r>
          </w:p>
        </w:tc>
      </w:tr>
      <w:tr w:rsidR="0042365B" w:rsidTr="000D6786">
        <w:tc>
          <w:tcPr>
            <w:tcW w:w="7308" w:type="dxa"/>
            <w:gridSpan w:val="2"/>
          </w:tcPr>
          <w:p w:rsidR="0042365B" w:rsidRPr="0042365B" w:rsidRDefault="0042365B" w:rsidP="000D6786">
            <w:pPr>
              <w:spacing w:before="120" w:after="0"/>
              <w:rPr>
                <w:rFonts w:ascii="Times New Roman" w:hAnsi="Times New Roman" w:cs="Times New Roman"/>
                <w:b/>
                <w:sz w:val="24"/>
                <w:szCs w:val="24"/>
              </w:rPr>
            </w:pPr>
            <w:r w:rsidRPr="0042365B">
              <w:rPr>
                <w:rFonts w:ascii="Times New Roman" w:hAnsi="Times New Roman" w:cs="Times New Roman"/>
                <w:b/>
                <w:sz w:val="24"/>
                <w:szCs w:val="24"/>
              </w:rPr>
              <w:t>Total to be paid to all pr</w:t>
            </w:r>
            <w:r>
              <w:rPr>
                <w:rFonts w:ascii="Times New Roman" w:hAnsi="Times New Roman" w:cs="Times New Roman"/>
                <w:b/>
                <w:sz w:val="24"/>
                <w:szCs w:val="24"/>
              </w:rPr>
              <w:t>e-petition creditors under the P</w:t>
            </w:r>
            <w:r w:rsidRPr="0042365B">
              <w:rPr>
                <w:rFonts w:ascii="Times New Roman" w:hAnsi="Times New Roman" w:cs="Times New Roman"/>
                <w:b/>
                <w:sz w:val="24"/>
                <w:szCs w:val="24"/>
              </w:rPr>
              <w:t>lan</w:t>
            </w:r>
          </w:p>
        </w:tc>
        <w:tc>
          <w:tcPr>
            <w:tcW w:w="2268" w:type="dxa"/>
          </w:tcPr>
          <w:p w:rsidR="0042365B" w:rsidRDefault="0042365B" w:rsidP="000D6786">
            <w:pPr>
              <w:spacing w:before="120" w:after="0"/>
              <w:jc w:val="right"/>
              <w:rPr>
                <w:rFonts w:ascii="Times New Roman" w:hAnsi="Times New Roman"/>
                <w:sz w:val="24"/>
              </w:rPr>
            </w:pPr>
            <w:r>
              <w:rPr>
                <w:rFonts w:ascii="Times New Roman" w:hAnsi="Times New Roman"/>
                <w:sz w:val="24"/>
              </w:rPr>
              <w:t>$</w:t>
            </w:r>
          </w:p>
        </w:tc>
      </w:tr>
      <w:tr w:rsidR="0042365B" w:rsidTr="000D6786">
        <w:tc>
          <w:tcPr>
            <w:tcW w:w="7308" w:type="dxa"/>
            <w:gridSpan w:val="2"/>
          </w:tcPr>
          <w:p w:rsidR="0042365B" w:rsidRPr="0042365B" w:rsidRDefault="0042365B" w:rsidP="000D6786">
            <w:pPr>
              <w:spacing w:before="120" w:after="0"/>
              <w:rPr>
                <w:rFonts w:ascii="Times New Roman" w:hAnsi="Times New Roman" w:cs="Times New Roman"/>
                <w:b/>
                <w:bCs/>
                <w:sz w:val="24"/>
                <w:szCs w:val="24"/>
              </w:rPr>
            </w:pPr>
            <w:r w:rsidRPr="0042365B">
              <w:rPr>
                <w:rFonts w:ascii="Times New Roman" w:hAnsi="Times New Roman" w:cs="Times New Roman"/>
                <w:b/>
                <w:sz w:val="24"/>
                <w:szCs w:val="24"/>
              </w:rPr>
              <w:t>Date of any scheduled dismissal hearing</w:t>
            </w:r>
            <w:r>
              <w:rPr>
                <w:rFonts w:ascii="Times New Roman" w:hAnsi="Times New Roman" w:cs="Times New Roman"/>
                <w:b/>
                <w:sz w:val="24"/>
                <w:szCs w:val="24"/>
              </w:rPr>
              <w:t>:</w:t>
            </w:r>
          </w:p>
        </w:tc>
        <w:tc>
          <w:tcPr>
            <w:tcW w:w="2268" w:type="dxa"/>
          </w:tcPr>
          <w:p w:rsidR="0042365B" w:rsidRDefault="0042365B" w:rsidP="000D6786">
            <w:pPr>
              <w:spacing w:before="120" w:after="0"/>
              <w:jc w:val="right"/>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Date of Confirmation Hearing:</w:t>
            </w:r>
          </w:p>
        </w:tc>
        <w:tc>
          <w:tcPr>
            <w:tcW w:w="2268" w:type="dxa"/>
          </w:tcPr>
          <w:p w:rsidR="000D6786" w:rsidRDefault="0042365B" w:rsidP="000D6786">
            <w:pPr>
              <w:spacing w:before="120" w:after="0"/>
              <w:jc w:val="right"/>
              <w:rPr>
                <w:rFonts w:ascii="Times New Roman" w:hAnsi="Times New Roman"/>
                <w:sz w:val="24"/>
              </w:rPr>
            </w:pPr>
            <w:r>
              <w:rPr>
                <w:rFonts w:ascii="Times New Roman" w:hAnsi="Times New Roman"/>
                <w:sz w:val="24"/>
              </w:rPr>
              <w:t>mm/</w:t>
            </w:r>
            <w:proofErr w:type="spellStart"/>
            <w:r>
              <w:rPr>
                <w:rFonts w:ascii="Times New Roman" w:hAnsi="Times New Roman"/>
                <w:sz w:val="24"/>
              </w:rPr>
              <w:t>dd</w:t>
            </w:r>
            <w:proofErr w:type="spellEnd"/>
            <w:r>
              <w:rPr>
                <w:rFonts w:ascii="Times New Roman" w:hAnsi="Times New Roman"/>
                <w:sz w:val="24"/>
              </w:rPr>
              <w:t>/</w:t>
            </w:r>
            <w:proofErr w:type="spellStart"/>
            <w:r>
              <w:rPr>
                <w:rFonts w:ascii="Times New Roman" w:hAnsi="Times New Roman"/>
                <w:sz w:val="24"/>
              </w:rPr>
              <w:t>yy</w:t>
            </w:r>
            <w:proofErr w:type="spellEnd"/>
          </w:p>
        </w:tc>
      </w:tr>
      <w:tr w:rsidR="000D6786" w:rsidTr="000D6786">
        <w:tc>
          <w:tcPr>
            <w:tcW w:w="7308" w:type="dxa"/>
            <w:gridSpan w:val="2"/>
          </w:tcPr>
          <w:p w:rsidR="000D6786" w:rsidRDefault="000D6786" w:rsidP="000D6786">
            <w:pPr>
              <w:spacing w:before="120" w:after="0"/>
              <w:rPr>
                <w:rFonts w:ascii="Times New Roman" w:hAnsi="Times New Roman"/>
                <w:b/>
                <w:bCs/>
                <w:sz w:val="24"/>
              </w:rPr>
            </w:pPr>
            <w:r>
              <w:rPr>
                <w:rFonts w:ascii="Times New Roman" w:hAnsi="Times New Roman"/>
                <w:b/>
                <w:bCs/>
                <w:sz w:val="24"/>
              </w:rPr>
              <w:t>Indicate whether plan has been confirmed:</w:t>
            </w:r>
          </w:p>
        </w:tc>
        <w:tc>
          <w:tcPr>
            <w:tcW w:w="2268" w:type="dxa"/>
          </w:tcPr>
          <w:p w:rsidR="000D6786" w:rsidRDefault="000D6786" w:rsidP="000D6786">
            <w:pPr>
              <w:spacing w:before="120" w:after="0"/>
              <w:jc w:val="right"/>
              <w:rPr>
                <w:rFonts w:ascii="Times New Roman" w:hAnsi="Times New Roman"/>
                <w:sz w:val="24"/>
              </w:rPr>
            </w:pPr>
            <w:r>
              <w:rPr>
                <w:rFonts w:ascii="Times New Roman" w:hAnsi="Times New Roman"/>
                <w:sz w:val="24"/>
              </w:rPr>
              <w:t>Y/N (Docket No. __)</w:t>
            </w:r>
          </w:p>
        </w:tc>
      </w:tr>
    </w:tbl>
    <w:p w:rsidR="000D6786" w:rsidRDefault="000D6786" w:rsidP="0042365B">
      <w:pPr>
        <w:pStyle w:val="Default"/>
        <w:jc w:val="both"/>
        <w:rPr>
          <w:color w:val="auto"/>
        </w:rPr>
      </w:pPr>
    </w:p>
    <w:p w:rsidR="00A84160" w:rsidRDefault="0042365B" w:rsidP="0042365B">
      <w:pPr>
        <w:pStyle w:val="Default"/>
        <w:ind w:left="360"/>
        <w:jc w:val="both"/>
        <w:rPr>
          <w:color w:val="auto"/>
        </w:rPr>
      </w:pPr>
      <w:r>
        <w:rPr>
          <w:color w:val="auto"/>
        </w:rPr>
        <w:t>In addition, all applications shall (</w:t>
      </w:r>
      <w:proofErr w:type="spellStart"/>
      <w:r>
        <w:rPr>
          <w:color w:val="auto"/>
        </w:rPr>
        <w:t>i</w:t>
      </w:r>
      <w:proofErr w:type="spellEnd"/>
      <w:r>
        <w:rPr>
          <w:color w:val="auto"/>
        </w:rPr>
        <w:t xml:space="preserve">) include </w:t>
      </w:r>
      <w:r w:rsidRPr="00E23885">
        <w:rPr>
          <w:color w:val="auto"/>
        </w:rPr>
        <w:t>a narrative description of the services performed and the benefits of those services</w:t>
      </w:r>
      <w:r>
        <w:rPr>
          <w:color w:val="auto"/>
        </w:rPr>
        <w:t>; and (ii) a</w:t>
      </w:r>
      <w:r w:rsidRPr="00E23885">
        <w:rPr>
          <w:color w:val="auto"/>
        </w:rPr>
        <w:t>ttach</w:t>
      </w:r>
      <w:r>
        <w:rPr>
          <w:color w:val="auto"/>
        </w:rPr>
        <w:t xml:space="preserve"> copies of all fee statements and a proposed form of order.  </w:t>
      </w:r>
    </w:p>
    <w:p w:rsidR="00A84160" w:rsidRDefault="00A84160" w:rsidP="0042365B">
      <w:pPr>
        <w:pStyle w:val="Default"/>
        <w:ind w:left="360"/>
        <w:jc w:val="both"/>
        <w:rPr>
          <w:color w:val="auto"/>
        </w:rPr>
      </w:pPr>
    </w:p>
    <w:p w:rsidR="00715CE3" w:rsidRPr="00E23885" w:rsidRDefault="0042365B" w:rsidP="0042365B">
      <w:pPr>
        <w:pStyle w:val="Default"/>
        <w:ind w:left="360"/>
        <w:jc w:val="both"/>
        <w:rPr>
          <w:color w:val="auto"/>
        </w:rPr>
      </w:pPr>
      <w:r>
        <w:rPr>
          <w:color w:val="auto"/>
        </w:rPr>
        <w:t xml:space="preserve">The </w:t>
      </w:r>
      <w:r w:rsidR="00715CE3" w:rsidRPr="00E23885">
        <w:rPr>
          <w:color w:val="auto"/>
        </w:rPr>
        <w:t xml:space="preserve">proposed order </w:t>
      </w:r>
      <w:r>
        <w:rPr>
          <w:color w:val="auto"/>
        </w:rPr>
        <w:t>shall</w:t>
      </w:r>
      <w:r w:rsidR="00B93762">
        <w:rPr>
          <w:color w:val="auto"/>
        </w:rPr>
        <w:t xml:space="preserve">, at a minimum, </w:t>
      </w:r>
      <w:r w:rsidR="00715CE3" w:rsidRPr="00E23885">
        <w:rPr>
          <w:color w:val="auto"/>
        </w:rPr>
        <w:t xml:space="preserve">contain the following paragraph: </w:t>
      </w:r>
    </w:p>
    <w:p w:rsidR="00715CE3" w:rsidRPr="00E23885" w:rsidRDefault="00715CE3" w:rsidP="00715CE3">
      <w:pPr>
        <w:pStyle w:val="Default"/>
        <w:jc w:val="both"/>
        <w:rPr>
          <w:color w:val="auto"/>
        </w:rPr>
      </w:pPr>
    </w:p>
    <w:p w:rsidR="00715CE3" w:rsidRPr="0042365B" w:rsidRDefault="00715CE3" w:rsidP="00715CE3">
      <w:pPr>
        <w:pStyle w:val="Default"/>
        <w:ind w:left="1440" w:right="1440"/>
        <w:jc w:val="both"/>
        <w:rPr>
          <w:color w:val="auto"/>
        </w:rPr>
      </w:pPr>
      <w:r w:rsidRPr="00E23885">
        <w:rPr>
          <w:color w:val="auto"/>
        </w:rPr>
        <w:t xml:space="preserve">It is ordered that [name of applicant], is awarded fees and costs as an administrative expense for the period </w:t>
      </w:r>
      <w:r w:rsidRPr="0042365B">
        <w:rPr>
          <w:color w:val="auto"/>
        </w:rPr>
        <w:t xml:space="preserve">_______________ through ___________________ as follows: </w:t>
      </w:r>
    </w:p>
    <w:p w:rsidR="0042365B" w:rsidRDefault="0042365B" w:rsidP="00715CE3">
      <w:pPr>
        <w:pStyle w:val="Default"/>
        <w:ind w:left="1440"/>
        <w:jc w:val="both"/>
        <w:rPr>
          <w:color w:val="auto"/>
        </w:rPr>
      </w:pPr>
    </w:p>
    <w:p w:rsidR="00715CE3" w:rsidRPr="0042365B" w:rsidRDefault="00715CE3" w:rsidP="0042365B">
      <w:pPr>
        <w:pStyle w:val="Default"/>
        <w:ind w:left="1440" w:firstLine="720"/>
        <w:jc w:val="both"/>
        <w:rPr>
          <w:color w:val="auto"/>
        </w:rPr>
      </w:pPr>
      <w:r w:rsidRPr="00E23885">
        <w:rPr>
          <w:color w:val="auto"/>
        </w:rPr>
        <w:t xml:space="preserve">Fees: </w:t>
      </w:r>
      <w:r w:rsidR="0042365B">
        <w:rPr>
          <w:color w:val="auto"/>
        </w:rPr>
        <w:tab/>
      </w:r>
      <w:r w:rsidR="0042365B">
        <w:rPr>
          <w:color w:val="auto"/>
        </w:rPr>
        <w:tab/>
      </w:r>
      <w:r w:rsidRPr="0042365B">
        <w:rPr>
          <w:color w:val="auto"/>
        </w:rPr>
        <w:t xml:space="preserve">$_______________ </w:t>
      </w:r>
    </w:p>
    <w:p w:rsidR="00715CE3" w:rsidRPr="0042365B" w:rsidRDefault="00715CE3" w:rsidP="0042365B">
      <w:pPr>
        <w:pStyle w:val="Default"/>
        <w:ind w:left="1440" w:firstLine="720"/>
        <w:jc w:val="both"/>
        <w:rPr>
          <w:color w:val="auto"/>
        </w:rPr>
      </w:pPr>
      <w:r w:rsidRPr="0042365B">
        <w:rPr>
          <w:color w:val="auto"/>
        </w:rPr>
        <w:t xml:space="preserve">Expenses: </w:t>
      </w:r>
      <w:r w:rsidR="0042365B">
        <w:rPr>
          <w:color w:val="auto"/>
        </w:rPr>
        <w:tab/>
      </w:r>
      <w:r w:rsidRPr="0042365B">
        <w:rPr>
          <w:color w:val="auto"/>
        </w:rPr>
        <w:t xml:space="preserve">$_______________ </w:t>
      </w:r>
    </w:p>
    <w:p w:rsidR="0042365B" w:rsidRDefault="0042365B" w:rsidP="00715CE3">
      <w:pPr>
        <w:pStyle w:val="Default"/>
        <w:ind w:left="1440"/>
        <w:jc w:val="both"/>
        <w:rPr>
          <w:color w:val="auto"/>
        </w:rPr>
      </w:pPr>
    </w:p>
    <w:p w:rsidR="00715CE3" w:rsidRDefault="00715CE3" w:rsidP="0042365B">
      <w:pPr>
        <w:pStyle w:val="Default"/>
        <w:ind w:left="1440" w:firstLine="720"/>
        <w:jc w:val="both"/>
        <w:rPr>
          <w:color w:val="auto"/>
        </w:rPr>
      </w:pPr>
      <w:r w:rsidRPr="0042365B">
        <w:rPr>
          <w:color w:val="auto"/>
        </w:rPr>
        <w:t xml:space="preserve">Total: </w:t>
      </w:r>
      <w:r w:rsidR="0042365B">
        <w:rPr>
          <w:color w:val="auto"/>
        </w:rPr>
        <w:tab/>
      </w:r>
      <w:r w:rsidR="0042365B">
        <w:rPr>
          <w:color w:val="auto"/>
        </w:rPr>
        <w:tab/>
      </w:r>
      <w:r w:rsidRPr="0042365B">
        <w:rPr>
          <w:color w:val="auto"/>
        </w:rPr>
        <w:t xml:space="preserve">$_______________ </w:t>
      </w:r>
    </w:p>
    <w:p w:rsidR="00BB1FA9" w:rsidRDefault="00BB1FA9" w:rsidP="0042365B">
      <w:pPr>
        <w:pStyle w:val="Default"/>
        <w:ind w:left="1440" w:firstLine="720"/>
        <w:jc w:val="both"/>
        <w:rPr>
          <w:color w:val="auto"/>
        </w:rPr>
      </w:pPr>
    </w:p>
    <w:p w:rsidR="00A84160" w:rsidRDefault="00A84160" w:rsidP="00A84160">
      <w:pPr>
        <w:pStyle w:val="Default"/>
        <w:ind w:left="1440" w:right="1440"/>
        <w:jc w:val="both"/>
        <w:rPr>
          <w:color w:val="auto"/>
        </w:rPr>
      </w:pPr>
      <w:r>
        <w:rPr>
          <w:color w:val="auto"/>
        </w:rPr>
        <w:t>[N</w:t>
      </w:r>
      <w:r w:rsidRPr="00E23885">
        <w:rPr>
          <w:color w:val="auto"/>
        </w:rPr>
        <w:t>ame of applicant]</w:t>
      </w:r>
      <w:r>
        <w:rPr>
          <w:color w:val="auto"/>
        </w:rPr>
        <w:t xml:space="preserve"> is authorized to apply its retainer in the amount of $________ against the awarded compensation.</w:t>
      </w:r>
    </w:p>
    <w:p w:rsidR="00A84160" w:rsidRPr="0042365B" w:rsidRDefault="00A84160" w:rsidP="00A84160">
      <w:pPr>
        <w:pStyle w:val="Default"/>
        <w:ind w:left="1440"/>
        <w:jc w:val="both"/>
        <w:rPr>
          <w:color w:val="auto"/>
        </w:rPr>
      </w:pPr>
    </w:p>
    <w:sectPr w:rsidR="00A84160" w:rsidRPr="0042365B" w:rsidSect="00C43372">
      <w:footerReference w:type="default" r:id="rId11"/>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90" w:rsidRDefault="009B5C90" w:rsidP="00501033">
      <w:pPr>
        <w:spacing w:after="0" w:line="240" w:lineRule="auto"/>
      </w:pPr>
      <w:r>
        <w:separator/>
      </w:r>
    </w:p>
  </w:endnote>
  <w:endnote w:type="continuationSeparator" w:id="0">
    <w:p w:rsidR="009B5C90" w:rsidRDefault="009B5C90" w:rsidP="005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A9" w:rsidRPr="00501033" w:rsidRDefault="00BB1FA9" w:rsidP="00C43372">
    <w:pPr>
      <w:pStyle w:val="Footer"/>
      <w:pBdr>
        <w:top w:val="thinThickSmallGap" w:sz="24" w:space="0" w:color="622423" w:themeColor="accent2" w:themeShade="7F"/>
      </w:pBdr>
      <w:rPr>
        <w:rFonts w:ascii="Times New Roman" w:hAnsi="Times New Roman" w:cs="Times New Roman"/>
      </w:rPr>
    </w:pPr>
    <w:r w:rsidRPr="00501033">
      <w:rPr>
        <w:rFonts w:ascii="Times New Roman" w:hAnsi="Times New Roman" w:cs="Times New Roman"/>
      </w:rPr>
      <w:t>Procedures and Practice Tips</w:t>
    </w:r>
    <w:r w:rsidRPr="00501033">
      <w:rPr>
        <w:rFonts w:ascii="Times New Roman" w:hAnsi="Times New Roman" w:cs="Times New Roman"/>
      </w:rPr>
      <w:ptab w:relativeTo="margin" w:alignment="right" w:leader="none"/>
    </w:r>
    <w:r w:rsidRPr="00501033">
      <w:rPr>
        <w:rFonts w:ascii="Times New Roman" w:hAnsi="Times New Roman" w:cs="Times New Roman"/>
      </w:rPr>
      <w:t xml:space="preserve">Page </w:t>
    </w:r>
    <w:r w:rsidR="00C24E59" w:rsidRPr="00501033">
      <w:rPr>
        <w:rFonts w:ascii="Times New Roman" w:hAnsi="Times New Roman" w:cs="Times New Roman"/>
      </w:rPr>
      <w:fldChar w:fldCharType="begin"/>
    </w:r>
    <w:r w:rsidRPr="00501033">
      <w:rPr>
        <w:rFonts w:ascii="Times New Roman" w:hAnsi="Times New Roman" w:cs="Times New Roman"/>
      </w:rPr>
      <w:instrText xml:space="preserve"> PAGE   \* MERGEFORMAT </w:instrText>
    </w:r>
    <w:r w:rsidR="00C24E59" w:rsidRPr="00501033">
      <w:rPr>
        <w:rFonts w:ascii="Times New Roman" w:hAnsi="Times New Roman" w:cs="Times New Roman"/>
      </w:rPr>
      <w:fldChar w:fldCharType="separate"/>
    </w:r>
    <w:r w:rsidR="00E85A6E">
      <w:rPr>
        <w:rFonts w:ascii="Times New Roman" w:hAnsi="Times New Roman" w:cs="Times New Roman"/>
        <w:noProof/>
      </w:rPr>
      <w:t>8</w:t>
    </w:r>
    <w:r w:rsidR="00C24E59" w:rsidRPr="00501033">
      <w:rPr>
        <w:rFonts w:ascii="Times New Roman" w:hAnsi="Times New Roman" w:cs="Times New Roman"/>
      </w:rPr>
      <w:fldChar w:fldCharType="end"/>
    </w:r>
    <w:r>
      <w:rPr>
        <w:rFonts w:ascii="Times New Roman" w:hAnsi="Times New Roman" w:cs="Times New Roman"/>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90" w:rsidRDefault="009B5C90" w:rsidP="00501033">
      <w:pPr>
        <w:spacing w:after="0" w:line="240" w:lineRule="auto"/>
      </w:pPr>
      <w:r>
        <w:separator/>
      </w:r>
    </w:p>
  </w:footnote>
  <w:footnote w:type="continuationSeparator" w:id="0">
    <w:p w:rsidR="009B5C90" w:rsidRDefault="009B5C90" w:rsidP="0050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6A"/>
    <w:multiLevelType w:val="multilevel"/>
    <w:tmpl w:val="637AACD6"/>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E95B79"/>
    <w:multiLevelType w:val="multilevel"/>
    <w:tmpl w:val="ECDC5638"/>
    <w:lvl w:ilvl="0">
      <w:start w:val="1"/>
      <w:numFmt w:val="lowerLetter"/>
      <w:pStyle w:val="Isgurlevel1"/>
      <w:lvlText w:val="%1."/>
      <w:lvlJc w:val="left"/>
      <w:pPr>
        <w:tabs>
          <w:tab w:val="num" w:pos="360"/>
        </w:tabs>
        <w:ind w:left="-720" w:firstLine="720"/>
      </w:pPr>
      <w:rPr>
        <w:rFonts w:hint="default"/>
        <w:b/>
        <w:i w:val="0"/>
      </w:rPr>
    </w:lvl>
    <w:lvl w:ilvl="1">
      <w:start w:val="1"/>
      <w:numFmt w:val="lowerRoman"/>
      <w:pStyle w:val="IsgurLevel2"/>
      <w:lvlText w:val="%2."/>
      <w:lvlJc w:val="left"/>
      <w:pPr>
        <w:tabs>
          <w:tab w:val="num" w:pos="1440"/>
        </w:tabs>
        <w:ind w:left="1440" w:hanging="360"/>
      </w:pPr>
      <w:rPr>
        <w:rFonts w:hint="default"/>
        <w:b w:val="0"/>
        <w:i w:val="0"/>
      </w:rPr>
    </w:lvl>
    <w:lvl w:ilvl="2">
      <w:start w:val="1"/>
      <w:numFmt w:val="lowerRoman"/>
      <w:pStyle w:val="IsgurLevel3"/>
      <w:lvlText w:val="(%3)"/>
      <w:lvlJc w:val="left"/>
      <w:pPr>
        <w:tabs>
          <w:tab w:val="num" w:pos="1800"/>
        </w:tabs>
        <w:ind w:left="1800" w:hanging="360"/>
      </w:pPr>
      <w:rPr>
        <w:rFonts w:hint="default"/>
      </w:rPr>
    </w:lvl>
    <w:lvl w:ilvl="3">
      <w:start w:val="1"/>
      <w:numFmt w:val="lowerLetter"/>
      <w:pStyle w:val="IsgurLevel4"/>
      <w:lvlText w:val="(%4)"/>
      <w:lvlJc w:val="left"/>
      <w:pPr>
        <w:tabs>
          <w:tab w:val="num" w:pos="2160"/>
        </w:tabs>
        <w:ind w:left="2160" w:hanging="360"/>
      </w:pPr>
      <w:rPr>
        <w:rFonts w:hint="default"/>
      </w:rPr>
    </w:lvl>
    <w:lvl w:ilvl="4">
      <w:start w:val="1"/>
      <w:numFmt w:val="decimal"/>
      <w:pStyle w:val="IsgurLevel5"/>
      <w:lvlText w:val="(%5)"/>
      <w:lvlJc w:val="left"/>
      <w:pPr>
        <w:tabs>
          <w:tab w:val="num" w:pos="2520"/>
        </w:tabs>
        <w:ind w:left="252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
    <w:nsid w:val="0A8C7720"/>
    <w:multiLevelType w:val="hybridMultilevel"/>
    <w:tmpl w:val="869D6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6C0950"/>
    <w:multiLevelType w:val="multilevel"/>
    <w:tmpl w:val="DA3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C5ACE"/>
    <w:multiLevelType w:val="hybridMultilevel"/>
    <w:tmpl w:val="2A046886"/>
    <w:lvl w:ilvl="0" w:tplc="8A48981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53035F"/>
    <w:multiLevelType w:val="hybridMultilevel"/>
    <w:tmpl w:val="69755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C8937B7"/>
    <w:multiLevelType w:val="hybridMultilevel"/>
    <w:tmpl w:val="057854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0B"/>
    <w:rsid w:val="00000CA0"/>
    <w:rsid w:val="000071D7"/>
    <w:rsid w:val="000161E1"/>
    <w:rsid w:val="00034F1A"/>
    <w:rsid w:val="000A521E"/>
    <w:rsid w:val="000B453C"/>
    <w:rsid w:val="000D6786"/>
    <w:rsid w:val="000E13BC"/>
    <w:rsid w:val="000F51AE"/>
    <w:rsid w:val="00147BB9"/>
    <w:rsid w:val="00162C28"/>
    <w:rsid w:val="001B1AAD"/>
    <w:rsid w:val="001D5FBB"/>
    <w:rsid w:val="001E5C13"/>
    <w:rsid w:val="001F033F"/>
    <w:rsid w:val="00203D4F"/>
    <w:rsid w:val="002046DE"/>
    <w:rsid w:val="00211E3F"/>
    <w:rsid w:val="0021488F"/>
    <w:rsid w:val="00217A27"/>
    <w:rsid w:val="002243CA"/>
    <w:rsid w:val="00224AB9"/>
    <w:rsid w:val="0023320A"/>
    <w:rsid w:val="00233A0B"/>
    <w:rsid w:val="00257EC9"/>
    <w:rsid w:val="002650DD"/>
    <w:rsid w:val="00265FDE"/>
    <w:rsid w:val="00293464"/>
    <w:rsid w:val="002A23F0"/>
    <w:rsid w:val="002A2780"/>
    <w:rsid w:val="002D125D"/>
    <w:rsid w:val="00305507"/>
    <w:rsid w:val="0034451C"/>
    <w:rsid w:val="00350DCB"/>
    <w:rsid w:val="00360B38"/>
    <w:rsid w:val="00397E82"/>
    <w:rsid w:val="003A777F"/>
    <w:rsid w:val="003B4FB5"/>
    <w:rsid w:val="003B7F84"/>
    <w:rsid w:val="003C2695"/>
    <w:rsid w:val="003F5274"/>
    <w:rsid w:val="0040072E"/>
    <w:rsid w:val="00404C6D"/>
    <w:rsid w:val="00417451"/>
    <w:rsid w:val="0042365B"/>
    <w:rsid w:val="004301BD"/>
    <w:rsid w:val="00451D62"/>
    <w:rsid w:val="0045312B"/>
    <w:rsid w:val="00461DB2"/>
    <w:rsid w:val="0049005F"/>
    <w:rsid w:val="004B743D"/>
    <w:rsid w:val="004C7805"/>
    <w:rsid w:val="004D13E3"/>
    <w:rsid w:val="004D68E4"/>
    <w:rsid w:val="004E63AA"/>
    <w:rsid w:val="004F1AAC"/>
    <w:rsid w:val="004F5DDA"/>
    <w:rsid w:val="00501033"/>
    <w:rsid w:val="005901C6"/>
    <w:rsid w:val="00591D76"/>
    <w:rsid w:val="0059568F"/>
    <w:rsid w:val="005C1ED3"/>
    <w:rsid w:val="005D13DC"/>
    <w:rsid w:val="005D24AD"/>
    <w:rsid w:val="005D699F"/>
    <w:rsid w:val="005E3BF5"/>
    <w:rsid w:val="005F1175"/>
    <w:rsid w:val="005F3263"/>
    <w:rsid w:val="006163CD"/>
    <w:rsid w:val="006200C3"/>
    <w:rsid w:val="00620C78"/>
    <w:rsid w:val="00623BB3"/>
    <w:rsid w:val="00641DE5"/>
    <w:rsid w:val="006459BC"/>
    <w:rsid w:val="0064709C"/>
    <w:rsid w:val="00662E2A"/>
    <w:rsid w:val="006754EB"/>
    <w:rsid w:val="006B05EE"/>
    <w:rsid w:val="006C12AD"/>
    <w:rsid w:val="006C536C"/>
    <w:rsid w:val="00715CE3"/>
    <w:rsid w:val="00737AF3"/>
    <w:rsid w:val="00752A17"/>
    <w:rsid w:val="00753183"/>
    <w:rsid w:val="007E3FDC"/>
    <w:rsid w:val="007E5E41"/>
    <w:rsid w:val="008172FF"/>
    <w:rsid w:val="008206E3"/>
    <w:rsid w:val="0082577E"/>
    <w:rsid w:val="00825E8D"/>
    <w:rsid w:val="00836D09"/>
    <w:rsid w:val="0085079D"/>
    <w:rsid w:val="008A0A98"/>
    <w:rsid w:val="008A32B7"/>
    <w:rsid w:val="008C6E2B"/>
    <w:rsid w:val="0090571A"/>
    <w:rsid w:val="009146C6"/>
    <w:rsid w:val="009161C2"/>
    <w:rsid w:val="00941F46"/>
    <w:rsid w:val="00942174"/>
    <w:rsid w:val="00956812"/>
    <w:rsid w:val="009672B2"/>
    <w:rsid w:val="0097021D"/>
    <w:rsid w:val="00981867"/>
    <w:rsid w:val="00995F01"/>
    <w:rsid w:val="009B5C90"/>
    <w:rsid w:val="009E07D9"/>
    <w:rsid w:val="009E24D8"/>
    <w:rsid w:val="00A16914"/>
    <w:rsid w:val="00A41A10"/>
    <w:rsid w:val="00A74993"/>
    <w:rsid w:val="00A822C3"/>
    <w:rsid w:val="00A84160"/>
    <w:rsid w:val="00AC0881"/>
    <w:rsid w:val="00AC30DC"/>
    <w:rsid w:val="00AD084A"/>
    <w:rsid w:val="00B0269D"/>
    <w:rsid w:val="00B04350"/>
    <w:rsid w:val="00B11344"/>
    <w:rsid w:val="00B13624"/>
    <w:rsid w:val="00B42FB5"/>
    <w:rsid w:val="00B455C6"/>
    <w:rsid w:val="00B53D2E"/>
    <w:rsid w:val="00B55C60"/>
    <w:rsid w:val="00B604C9"/>
    <w:rsid w:val="00B70120"/>
    <w:rsid w:val="00B72F59"/>
    <w:rsid w:val="00B93639"/>
    <w:rsid w:val="00B93762"/>
    <w:rsid w:val="00BB19F9"/>
    <w:rsid w:val="00BB1FA9"/>
    <w:rsid w:val="00BC2E31"/>
    <w:rsid w:val="00BD7752"/>
    <w:rsid w:val="00C0110A"/>
    <w:rsid w:val="00C21070"/>
    <w:rsid w:val="00C24E59"/>
    <w:rsid w:val="00C43372"/>
    <w:rsid w:val="00C57577"/>
    <w:rsid w:val="00C9019E"/>
    <w:rsid w:val="00C93CCA"/>
    <w:rsid w:val="00D43E32"/>
    <w:rsid w:val="00D670B4"/>
    <w:rsid w:val="00DA520E"/>
    <w:rsid w:val="00DC094D"/>
    <w:rsid w:val="00DC6357"/>
    <w:rsid w:val="00DD0E05"/>
    <w:rsid w:val="00DF4DFA"/>
    <w:rsid w:val="00E01CDA"/>
    <w:rsid w:val="00E23885"/>
    <w:rsid w:val="00E24870"/>
    <w:rsid w:val="00E60F0D"/>
    <w:rsid w:val="00E61265"/>
    <w:rsid w:val="00E67A2F"/>
    <w:rsid w:val="00E8485C"/>
    <w:rsid w:val="00E85A6E"/>
    <w:rsid w:val="00E97936"/>
    <w:rsid w:val="00ED64AD"/>
    <w:rsid w:val="00EE1988"/>
    <w:rsid w:val="00EE560D"/>
    <w:rsid w:val="00F1544C"/>
    <w:rsid w:val="00F25C84"/>
    <w:rsid w:val="00F71AAD"/>
    <w:rsid w:val="00F83BB4"/>
    <w:rsid w:val="00FB137A"/>
    <w:rsid w:val="00FC5A0D"/>
    <w:rsid w:val="00FD536E"/>
    <w:rsid w:val="00FE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5C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5C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5C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5C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5C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CE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5C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A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04C6D"/>
    <w:rPr>
      <w:color w:val="0000FF" w:themeColor="hyperlink"/>
      <w:u w:val="single"/>
    </w:rPr>
  </w:style>
  <w:style w:type="character" w:customStyle="1" w:styleId="Heading1Char">
    <w:name w:val="Heading 1 Char"/>
    <w:basedOn w:val="DefaultParagraphFont"/>
    <w:link w:val="Heading1"/>
    <w:uiPriority w:val="9"/>
    <w:rsid w:val="00715C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C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C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5C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5C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5C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5C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5C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CE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15CE3"/>
    <w:pPr>
      <w:ind w:left="720"/>
      <w:contextualSpacing/>
    </w:pPr>
  </w:style>
  <w:style w:type="paragraph" w:styleId="BalloonText">
    <w:name w:val="Balloon Text"/>
    <w:basedOn w:val="Normal"/>
    <w:link w:val="BalloonTextChar"/>
    <w:uiPriority w:val="99"/>
    <w:semiHidden/>
    <w:unhideWhenUsed/>
    <w:rsid w:val="005E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F5"/>
    <w:rPr>
      <w:rFonts w:ascii="Tahoma" w:hAnsi="Tahoma" w:cs="Tahoma"/>
      <w:sz w:val="16"/>
      <w:szCs w:val="16"/>
    </w:rPr>
  </w:style>
  <w:style w:type="paragraph" w:styleId="BlockText">
    <w:name w:val="Block Text"/>
    <w:basedOn w:val="Normal"/>
    <w:rsid w:val="00A16914"/>
    <w:pPr>
      <w:spacing w:after="120" w:line="240" w:lineRule="auto"/>
      <w:ind w:left="1440" w:right="1440"/>
    </w:pPr>
    <w:rPr>
      <w:rFonts w:ascii="Times New Roman" w:eastAsia="Times New Roman" w:hAnsi="Times New Roman" w:cs="Times New Roman"/>
      <w:sz w:val="24"/>
      <w:szCs w:val="24"/>
    </w:rPr>
  </w:style>
  <w:style w:type="paragraph" w:customStyle="1" w:styleId="PHBodyTextNoIndent0pt">
    <w:name w:val="PH BodyTextNoIndent 0pt"/>
    <w:basedOn w:val="Normal"/>
    <w:rsid w:val="00A16914"/>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33"/>
  </w:style>
  <w:style w:type="paragraph" w:styleId="Footer">
    <w:name w:val="footer"/>
    <w:basedOn w:val="Normal"/>
    <w:link w:val="FooterChar"/>
    <w:uiPriority w:val="99"/>
    <w:unhideWhenUsed/>
    <w:rsid w:val="0050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33"/>
  </w:style>
  <w:style w:type="character" w:customStyle="1" w:styleId="phone-code">
    <w:name w:val="phone-code"/>
    <w:basedOn w:val="DefaultParagraphFont"/>
    <w:rsid w:val="00E67A2F"/>
  </w:style>
  <w:style w:type="paragraph" w:customStyle="1" w:styleId="Isgurlevel1">
    <w:name w:val="Isgur level 1"/>
    <w:basedOn w:val="Normal"/>
    <w:rsid w:val="00753183"/>
    <w:pPr>
      <w:numPr>
        <w:numId w:val="6"/>
      </w:numPr>
      <w:spacing w:after="0" w:line="480" w:lineRule="auto"/>
      <w:jc w:val="both"/>
    </w:pPr>
    <w:rPr>
      <w:rFonts w:ascii="Times New Roman" w:eastAsia="Times New Roman" w:hAnsi="Times New Roman" w:cs="Times New Roman"/>
      <w:sz w:val="24"/>
      <w:szCs w:val="24"/>
    </w:rPr>
  </w:style>
  <w:style w:type="paragraph" w:customStyle="1" w:styleId="IsgurLevel2">
    <w:name w:val="Isgur Level 2"/>
    <w:basedOn w:val="Normal"/>
    <w:rsid w:val="00753183"/>
    <w:pPr>
      <w:numPr>
        <w:ilvl w:val="1"/>
        <w:numId w:val="6"/>
      </w:numPr>
      <w:spacing w:after="0" w:line="480" w:lineRule="auto"/>
      <w:jc w:val="both"/>
    </w:pPr>
    <w:rPr>
      <w:rFonts w:ascii="Times New Roman" w:eastAsia="Times New Roman" w:hAnsi="Times New Roman" w:cs="Times New Roman"/>
      <w:sz w:val="24"/>
      <w:szCs w:val="24"/>
    </w:rPr>
  </w:style>
  <w:style w:type="paragraph" w:customStyle="1" w:styleId="IsgurLevel3">
    <w:name w:val="Isgur Level 3"/>
    <w:basedOn w:val="Normal"/>
    <w:rsid w:val="0075318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IsgurLevel4">
    <w:name w:val="Isgur Level 4"/>
    <w:basedOn w:val="Normal"/>
    <w:rsid w:val="00753183"/>
    <w:pPr>
      <w:numPr>
        <w:ilvl w:val="3"/>
        <w:numId w:val="6"/>
      </w:numPr>
      <w:spacing w:after="0" w:line="240" w:lineRule="auto"/>
      <w:jc w:val="both"/>
    </w:pPr>
    <w:rPr>
      <w:rFonts w:ascii="Times New Roman" w:eastAsia="Times New Roman" w:hAnsi="Times New Roman" w:cs="Times New Roman"/>
      <w:sz w:val="24"/>
      <w:szCs w:val="24"/>
    </w:rPr>
  </w:style>
  <w:style w:type="paragraph" w:customStyle="1" w:styleId="IsgurLevel5">
    <w:name w:val="Isgur Level 5"/>
    <w:basedOn w:val="Normal"/>
    <w:rsid w:val="00753183"/>
    <w:pPr>
      <w:numPr>
        <w:ilvl w:val="4"/>
        <w:numId w:val="6"/>
      </w:num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5C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5C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5C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5C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5C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CE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5C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A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04C6D"/>
    <w:rPr>
      <w:color w:val="0000FF" w:themeColor="hyperlink"/>
      <w:u w:val="single"/>
    </w:rPr>
  </w:style>
  <w:style w:type="character" w:customStyle="1" w:styleId="Heading1Char">
    <w:name w:val="Heading 1 Char"/>
    <w:basedOn w:val="DefaultParagraphFont"/>
    <w:link w:val="Heading1"/>
    <w:uiPriority w:val="9"/>
    <w:rsid w:val="00715C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C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C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5C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5C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5C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5C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5C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CE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15CE3"/>
    <w:pPr>
      <w:ind w:left="720"/>
      <w:contextualSpacing/>
    </w:pPr>
  </w:style>
  <w:style w:type="paragraph" w:styleId="BalloonText">
    <w:name w:val="Balloon Text"/>
    <w:basedOn w:val="Normal"/>
    <w:link w:val="BalloonTextChar"/>
    <w:uiPriority w:val="99"/>
    <w:semiHidden/>
    <w:unhideWhenUsed/>
    <w:rsid w:val="005E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F5"/>
    <w:rPr>
      <w:rFonts w:ascii="Tahoma" w:hAnsi="Tahoma" w:cs="Tahoma"/>
      <w:sz w:val="16"/>
      <w:szCs w:val="16"/>
    </w:rPr>
  </w:style>
  <w:style w:type="paragraph" w:styleId="BlockText">
    <w:name w:val="Block Text"/>
    <w:basedOn w:val="Normal"/>
    <w:rsid w:val="00A16914"/>
    <w:pPr>
      <w:spacing w:after="120" w:line="240" w:lineRule="auto"/>
      <w:ind w:left="1440" w:right="1440"/>
    </w:pPr>
    <w:rPr>
      <w:rFonts w:ascii="Times New Roman" w:eastAsia="Times New Roman" w:hAnsi="Times New Roman" w:cs="Times New Roman"/>
      <w:sz w:val="24"/>
      <w:szCs w:val="24"/>
    </w:rPr>
  </w:style>
  <w:style w:type="paragraph" w:customStyle="1" w:styleId="PHBodyTextNoIndent0pt">
    <w:name w:val="PH BodyTextNoIndent 0pt"/>
    <w:basedOn w:val="Normal"/>
    <w:rsid w:val="00A16914"/>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33"/>
  </w:style>
  <w:style w:type="paragraph" w:styleId="Footer">
    <w:name w:val="footer"/>
    <w:basedOn w:val="Normal"/>
    <w:link w:val="FooterChar"/>
    <w:uiPriority w:val="99"/>
    <w:unhideWhenUsed/>
    <w:rsid w:val="0050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33"/>
  </w:style>
  <w:style w:type="character" w:customStyle="1" w:styleId="phone-code">
    <w:name w:val="phone-code"/>
    <w:basedOn w:val="DefaultParagraphFont"/>
    <w:rsid w:val="00E67A2F"/>
  </w:style>
  <w:style w:type="paragraph" w:customStyle="1" w:styleId="Isgurlevel1">
    <w:name w:val="Isgur level 1"/>
    <w:basedOn w:val="Normal"/>
    <w:rsid w:val="00753183"/>
    <w:pPr>
      <w:numPr>
        <w:numId w:val="6"/>
      </w:numPr>
      <w:spacing w:after="0" w:line="480" w:lineRule="auto"/>
      <w:jc w:val="both"/>
    </w:pPr>
    <w:rPr>
      <w:rFonts w:ascii="Times New Roman" w:eastAsia="Times New Roman" w:hAnsi="Times New Roman" w:cs="Times New Roman"/>
      <w:sz w:val="24"/>
      <w:szCs w:val="24"/>
    </w:rPr>
  </w:style>
  <w:style w:type="paragraph" w:customStyle="1" w:styleId="IsgurLevel2">
    <w:name w:val="Isgur Level 2"/>
    <w:basedOn w:val="Normal"/>
    <w:rsid w:val="00753183"/>
    <w:pPr>
      <w:numPr>
        <w:ilvl w:val="1"/>
        <w:numId w:val="6"/>
      </w:numPr>
      <w:spacing w:after="0" w:line="480" w:lineRule="auto"/>
      <w:jc w:val="both"/>
    </w:pPr>
    <w:rPr>
      <w:rFonts w:ascii="Times New Roman" w:eastAsia="Times New Roman" w:hAnsi="Times New Roman" w:cs="Times New Roman"/>
      <w:sz w:val="24"/>
      <w:szCs w:val="24"/>
    </w:rPr>
  </w:style>
  <w:style w:type="paragraph" w:customStyle="1" w:styleId="IsgurLevel3">
    <w:name w:val="Isgur Level 3"/>
    <w:basedOn w:val="Normal"/>
    <w:rsid w:val="0075318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IsgurLevel4">
    <w:name w:val="Isgur Level 4"/>
    <w:basedOn w:val="Normal"/>
    <w:rsid w:val="00753183"/>
    <w:pPr>
      <w:numPr>
        <w:ilvl w:val="3"/>
        <w:numId w:val="6"/>
      </w:numPr>
      <w:spacing w:after="0" w:line="240" w:lineRule="auto"/>
      <w:jc w:val="both"/>
    </w:pPr>
    <w:rPr>
      <w:rFonts w:ascii="Times New Roman" w:eastAsia="Times New Roman" w:hAnsi="Times New Roman" w:cs="Times New Roman"/>
      <w:sz w:val="24"/>
      <w:szCs w:val="24"/>
    </w:rPr>
  </w:style>
  <w:style w:type="paragraph" w:customStyle="1" w:styleId="IsgurLevel5">
    <w:name w:val="Isgur Level 5"/>
    <w:basedOn w:val="Normal"/>
    <w:rsid w:val="00753183"/>
    <w:pPr>
      <w:numPr>
        <w:ilvl w:val="4"/>
        <w:numId w:val="6"/>
      </w:num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join.me" TargetMode="External"/><Relationship Id="rId4" Type="http://schemas.microsoft.com/office/2007/relationships/stylesWithEffects" Target="stylesWithEffects.xml"/><Relationship Id="rId9" Type="http://schemas.openxmlformats.org/officeDocument/2006/relationships/hyperlink" Target="http://www.freeconferenceca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F6D7-FEFF-4A3E-B777-38E40CD7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drj_lc2</cp:lastModifiedBy>
  <cp:revision>2</cp:revision>
  <cp:lastPrinted>2016-02-22T19:50:00Z</cp:lastPrinted>
  <dcterms:created xsi:type="dcterms:W3CDTF">2016-11-22T18:16:00Z</dcterms:created>
  <dcterms:modified xsi:type="dcterms:W3CDTF">2016-11-22T18:16:00Z</dcterms:modified>
</cp:coreProperties>
</file>