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B2A7" w14:textId="765F5607" w:rsidR="007B6A30" w:rsidRPr="003C1297" w:rsidRDefault="007B6A30" w:rsidP="007B6A3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97">
        <w:rPr>
          <w:rFonts w:ascii="Times New Roman" w:hAnsi="Times New Roman" w:cs="Times New Roman"/>
          <w:b/>
          <w:bCs/>
          <w:sz w:val="28"/>
          <w:szCs w:val="28"/>
        </w:rPr>
        <w:t>APPENDIX “A”</w:t>
      </w:r>
    </w:p>
    <w:p w14:paraId="648D16BB" w14:textId="77777777" w:rsidR="007B6A30" w:rsidRDefault="007B6A30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4C40EF" w14:textId="77777777" w:rsidR="00AC0A77" w:rsidRPr="003A3570" w:rsidRDefault="00AC0A77" w:rsidP="00AC0A77">
      <w:pPr>
        <w:contextualSpacing/>
        <w:rPr>
          <w:rFonts w:ascii="Times New Roman" w:hAnsi="Times New Roman" w:cs="Times New Roman"/>
          <w:sz w:val="24"/>
          <w:szCs w:val="24"/>
        </w:rPr>
      </w:pP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59FC496" wp14:editId="3D45A1F5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19050" t="27305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009B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1764057E" w14:textId="77777777" w:rsidR="00AC0A77" w:rsidRPr="00862531" w:rsidRDefault="00AC0A77" w:rsidP="00AC0A77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United States District Court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        </w:t>
      </w:r>
      <w:proofErr w:type="gramStart"/>
      <w:r w:rsidRPr="00862531">
        <w:rPr>
          <w:rFonts w:ascii="Segoe UI Symbol" w:hAnsi="Segoe UI Symbol" w:cs="Segoe UI Symbol"/>
          <w:smallCaps/>
          <w:sz w:val="28"/>
          <w:szCs w:val="24"/>
        </w:rPr>
        <w:t>☆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ab/>
      </w:r>
      <w:proofErr w:type="gramEnd"/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Southern District of Texas</w:t>
      </w:r>
    </w:p>
    <w:p w14:paraId="73335F21" w14:textId="77777777" w:rsidR="00AC0A77" w:rsidRPr="00862531" w:rsidRDefault="00AC0A77" w:rsidP="00AC0A77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          </w:t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Houston Division</w:t>
      </w:r>
    </w:p>
    <w:p w14:paraId="14D56336" w14:textId="77777777" w:rsidR="00AC0A77" w:rsidRPr="00862531" w:rsidRDefault="00AC0A77" w:rsidP="00AC0A77">
      <w:pPr>
        <w:contextualSpacing/>
        <w:rPr>
          <w:rFonts w:ascii="Times New Roman" w:hAnsi="Times New Roman" w:cs="Times New Roman"/>
          <w:b/>
          <w:smallCaps/>
          <w:sz w:val="16"/>
          <w:szCs w:val="24"/>
        </w:rPr>
      </w:pPr>
    </w:p>
    <w:p w14:paraId="594BC996" w14:textId="77777777" w:rsidR="00216B23" w:rsidRPr="003A3570" w:rsidRDefault="00AC0A77" w:rsidP="00AC0A77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216B23" w:rsidRPr="003A3570">
        <w:rPr>
          <w:rFonts w:ascii="Times New Roman" w:hAnsi="Times New Roman" w:cs="Times New Roman"/>
          <w:sz w:val="24"/>
          <w:szCs w:val="24"/>
        </w:rPr>
        <w:tab/>
      </w:r>
      <w:r w:rsidR="00216B23" w:rsidRPr="003A3570">
        <w:rPr>
          <w:rFonts w:ascii="Times New Roman" w:hAnsi="Times New Roman" w:cs="Times New Roman"/>
          <w:sz w:val="24"/>
          <w:szCs w:val="24"/>
        </w:rPr>
        <w:tab/>
      </w:r>
      <w:r w:rsidR="00216B23"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3630A53" wp14:editId="798FCF37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43600" cy="0"/>
                <wp:effectExtent l="19050" t="27305" r="19050" b="203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CE97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64147D0C" w14:textId="5EE6EF56" w:rsidR="003C1297" w:rsidRPr="003C1297" w:rsidRDefault="003C1297" w:rsidP="003C1297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97">
        <w:rPr>
          <w:rFonts w:ascii="Times New Roman" w:hAnsi="Times New Roman" w:cs="Times New Roman"/>
          <w:b/>
          <w:bCs/>
          <w:sz w:val="28"/>
          <w:szCs w:val="28"/>
        </w:rPr>
        <w:t>ORDER</w:t>
      </w:r>
    </w:p>
    <w:p w14:paraId="27092CE4" w14:textId="658CC2A7" w:rsidR="007B6A30" w:rsidRPr="007B6A30" w:rsidRDefault="007B6A30" w:rsidP="007B6A3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In this District, a practice has developed of filing motions to suppress without alleging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facts that form the basis for the motion. All pretrial motions, including motions to suppress,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comply with Local Crim</w:t>
      </w:r>
      <w:bookmarkStart w:id="0" w:name="_GoBack"/>
      <w:bookmarkEnd w:id="0"/>
      <w:r w:rsidRPr="007B6A30">
        <w:rPr>
          <w:rFonts w:ascii="Times New Roman" w:hAnsi="Times New Roman" w:cs="Times New Roman"/>
          <w:sz w:val="24"/>
          <w:szCs w:val="24"/>
        </w:rPr>
        <w:t>inal Rule 12 (Criminal Pretrial Motion Practice). Motions to suppress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complying with Local Rule 12 will be considered waived. The Court will not entertain unsupported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pretrial motions.</w:t>
      </w:r>
    </w:p>
    <w:p w14:paraId="2D53C683" w14:textId="062D9B8B" w:rsidR="007B6A30" w:rsidRPr="007B6A30" w:rsidRDefault="007B6A30" w:rsidP="007B6A3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Local Rule 12.1 instructs counsel to follow Federal Rules of Criminal Procedure Rule 12 “to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ensure consistent and efficient practice before this Court.</w:t>
      </w:r>
      <w:r w:rsidR="003C1297">
        <w:rPr>
          <w:rFonts w:ascii="Times New Roman" w:hAnsi="Times New Roman" w:cs="Times New Roman"/>
          <w:sz w:val="24"/>
          <w:szCs w:val="24"/>
        </w:rPr>
        <w:t>”</w:t>
      </w:r>
      <w:r w:rsidRPr="007B6A30">
        <w:rPr>
          <w:rFonts w:ascii="Times New Roman" w:hAnsi="Times New Roman" w:cs="Times New Roman"/>
          <w:sz w:val="24"/>
          <w:szCs w:val="24"/>
        </w:rPr>
        <w:t xml:space="preserve"> Local Rule 12.2 outlines the form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pretrial motion. Most importantly, the rule specifies that:</w:t>
      </w:r>
    </w:p>
    <w:p w14:paraId="052319D9" w14:textId="279F19E5" w:rsidR="007B6A30" w:rsidRDefault="007B6A30" w:rsidP="007B6A30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A pretrial motion shall be in writing and state specifically the basis for the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The motion shall be supported by a statement of authority</w:t>
      </w:r>
      <w:r w:rsidR="00C460BE"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....</w:t>
      </w:r>
      <w:r w:rsidR="00C460BE"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If the motion presents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issues of fact, it shall be supported by affidavit or declaration which sets forth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particularity the material facts at issue.</w:t>
      </w:r>
    </w:p>
    <w:p w14:paraId="17F047EE" w14:textId="77777777" w:rsidR="007B6A30" w:rsidRPr="007B6A30" w:rsidRDefault="007B6A30" w:rsidP="007B6A30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3ADF35" w14:textId="77777777" w:rsidR="007B6A30" w:rsidRDefault="007B6A30" w:rsidP="007B6A3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The rule is sufficiently clear and needs no further explanation. All motions to suppress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complying with the requirements of form will be considered waived pursuant to Rule 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47AE" w14:textId="7BEA2FEB" w:rsidR="007B6A30" w:rsidRPr="007B6A30" w:rsidRDefault="007B6A30" w:rsidP="007B6A3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 xml:space="preserve">Local Rule 12 is supported by Fifth Circuit precedent. In </w:t>
      </w:r>
      <w:r w:rsidRPr="003C1297">
        <w:rPr>
          <w:rFonts w:ascii="Times New Roman" w:hAnsi="Times New Roman" w:cs="Times New Roman"/>
          <w:i/>
          <w:iCs/>
          <w:sz w:val="24"/>
          <w:szCs w:val="24"/>
        </w:rPr>
        <w:t>United States v. Harrelson</w:t>
      </w:r>
      <w:r w:rsidRPr="007B6A30">
        <w:rPr>
          <w:rFonts w:ascii="Times New Roman" w:hAnsi="Times New Roman" w:cs="Times New Roman"/>
          <w:sz w:val="24"/>
          <w:szCs w:val="24"/>
        </w:rPr>
        <w:t>, 705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F.2d. 733, 737 (5th Cir. 1983), the Fifth Circuit addressed this issue and declared that “[e]</w:t>
      </w:r>
      <w:proofErr w:type="spellStart"/>
      <w:r w:rsidRPr="007B6A30">
        <w:rPr>
          <w:rFonts w:ascii="Times New Roman" w:hAnsi="Times New Roman" w:cs="Times New Roman"/>
          <w:sz w:val="24"/>
          <w:szCs w:val="24"/>
        </w:rPr>
        <w:t>videntiary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hearings are not granted as a matter of course, but are held only when the defendant alleges 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facts which, if proven, would justify relief.” (citations omitted). “Factual allegations set forth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the defendant's motion, including any accompanying affidavits, must be sufficiently definite, specific,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 xml:space="preserve">detailed, and nonconjectural, to enable the court to conclude that a </w:t>
      </w:r>
      <w:r w:rsidRPr="007B6A30">
        <w:rPr>
          <w:rFonts w:ascii="Times New Roman" w:hAnsi="Times New Roman" w:cs="Times New Roman"/>
          <w:sz w:val="24"/>
          <w:szCs w:val="24"/>
        </w:rPr>
        <w:lastRenderedPageBreak/>
        <w:t>substantial claim is presented.”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7B6A30">
        <w:rPr>
          <w:rFonts w:ascii="Times New Roman" w:hAnsi="Times New Roman" w:cs="Times New Roman"/>
          <w:sz w:val="24"/>
          <w:szCs w:val="24"/>
        </w:rPr>
        <w:t>. (quotations omitted). “General or conclusionary assertions, founded upon mere suspicion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 xml:space="preserve">conjecture, will not suffice.” </w:t>
      </w:r>
      <w:r w:rsidRPr="007B6A30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7B6A30">
        <w:rPr>
          <w:rFonts w:ascii="Times New Roman" w:hAnsi="Times New Roman" w:cs="Times New Roman"/>
          <w:sz w:val="24"/>
          <w:szCs w:val="24"/>
        </w:rPr>
        <w:t xml:space="preserve">. (citing 3 C. </w:t>
      </w:r>
      <w:r w:rsidRPr="007B6A30">
        <w:rPr>
          <w:rFonts w:ascii="Times New Roman" w:hAnsi="Times New Roman" w:cs="Times New Roman"/>
          <w:smallCaps/>
          <w:sz w:val="24"/>
          <w:szCs w:val="24"/>
        </w:rPr>
        <w:t>Wright, federal practice and procedure: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mallCaps/>
          <w:sz w:val="24"/>
          <w:szCs w:val="24"/>
        </w:rPr>
        <w:t>Criminal</w:t>
      </w:r>
      <w:r w:rsidRPr="007B6A30">
        <w:rPr>
          <w:rFonts w:ascii="Times New Roman" w:hAnsi="Times New Roman" w:cs="Times New Roman"/>
          <w:sz w:val="24"/>
          <w:szCs w:val="24"/>
        </w:rPr>
        <w:t xml:space="preserve"> 2D, § 675 (1982)).</w:t>
      </w:r>
    </w:p>
    <w:p w14:paraId="565EABB4" w14:textId="1B9BADB2" w:rsidR="007B6A30" w:rsidRPr="007B6A30" w:rsidRDefault="007B6A30" w:rsidP="007B6A3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Fifth Circuit precedent and the Local Rules establish that motions to suppress must allege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specific facts. Cursory motions filed to “test” the constitutionality of statements which may or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 xml:space="preserve">not have been made do not allege </w:t>
      </w:r>
      <w:proofErr w:type="gramStart"/>
      <w:r w:rsidRPr="007B6A30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7B6A30">
        <w:rPr>
          <w:rFonts w:ascii="Times New Roman" w:hAnsi="Times New Roman" w:cs="Times New Roman"/>
          <w:sz w:val="24"/>
          <w:szCs w:val="24"/>
        </w:rPr>
        <w:t xml:space="preserve"> facts to warrant an evidentiary hearing. A motion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suppress is not the proper vehicle for determining whether a defendant made statements to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enforcement; what statements may have been made; or the circumstances under which they may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7B6A30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been made. “Hearings on motions to suppress are not discovery proceedings, but are instead</w:t>
      </w:r>
    </w:p>
    <w:p w14:paraId="08EDF442" w14:textId="77777777" w:rsidR="007B6A30" w:rsidRPr="007B6A30" w:rsidRDefault="007B6A30" w:rsidP="007B6A3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designed for the presentation of evidence in support of factual allegations which, if proved, would</w:t>
      </w:r>
    </w:p>
    <w:p w14:paraId="1B3D5968" w14:textId="77777777" w:rsidR="003C1297" w:rsidRDefault="007B6A30" w:rsidP="007B6A30">
      <w:pPr>
        <w:spacing w:line="480" w:lineRule="auto"/>
        <w:contextualSpacing/>
      </w:pPr>
      <w:r w:rsidRPr="007B6A30">
        <w:rPr>
          <w:rFonts w:ascii="Times New Roman" w:hAnsi="Times New Roman" w:cs="Times New Roman"/>
          <w:sz w:val="24"/>
          <w:szCs w:val="24"/>
        </w:rPr>
        <w:t xml:space="preserve">justify the relief sought.” </w:t>
      </w:r>
      <w:r w:rsidRPr="003C1297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7B6A30">
        <w:rPr>
          <w:rFonts w:ascii="Times New Roman" w:hAnsi="Times New Roman" w:cs="Times New Roman"/>
          <w:sz w:val="24"/>
          <w:szCs w:val="24"/>
        </w:rPr>
        <w:t>. at 738. There are other more efficient methods of obtaining the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information for discovery purposes.</w:t>
      </w:r>
      <w:r w:rsidRPr="007B6A30">
        <w:t xml:space="preserve"> </w:t>
      </w:r>
    </w:p>
    <w:p w14:paraId="0B708E44" w14:textId="1EB4DADF" w:rsidR="007B6A30" w:rsidRPr="007B6A30" w:rsidRDefault="007B6A30" w:rsidP="003C129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The Federal Rules of Criminal Procedure provide methods of obtaining discoverable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information. Defense counsel and the United States Attorney's Office alike should follow the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and the spirit of the Federal Rules of Criminal Procedure, particularly Rules 12 and 16. Should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government fail to meet its obligations under the applicable discovery rules, defendants and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counsel will address the matter with the Magistrate Judge in the form of a motion to compel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discovery.</w:t>
      </w:r>
    </w:p>
    <w:p w14:paraId="5C5EBB42" w14:textId="77777777" w:rsidR="003C1297" w:rsidRDefault="007B6A30" w:rsidP="003C129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To recap, the Court will not entertain conjectural or conclusionary motions to suppress.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Court will hold evidentiary hearings on motions to suppress conforming with Local Rule 12 and Fifth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Circuit precedent; all other motions will be considered waived, and an evidentiary hearing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be held. Moreover, the United States Attorney</w:t>
      </w:r>
      <w:r w:rsidR="003C1297">
        <w:rPr>
          <w:rFonts w:ascii="Times New Roman" w:hAnsi="Times New Roman" w:cs="Times New Roman"/>
          <w:sz w:val="24"/>
          <w:szCs w:val="24"/>
        </w:rPr>
        <w:t>’</w:t>
      </w:r>
      <w:r w:rsidRPr="007B6A30">
        <w:rPr>
          <w:rFonts w:ascii="Times New Roman" w:hAnsi="Times New Roman" w:cs="Times New Roman"/>
          <w:sz w:val="24"/>
          <w:szCs w:val="24"/>
        </w:rPr>
        <w:t>s Office will comply with the Federal Rules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 xml:space="preserve">Criminal Procedure, so that defendants will have access to all files containing the </w:t>
      </w:r>
      <w:r w:rsidRPr="007B6A30">
        <w:rPr>
          <w:rFonts w:ascii="Times New Roman" w:hAnsi="Times New Roman" w:cs="Times New Roman"/>
          <w:sz w:val="24"/>
          <w:szCs w:val="24"/>
        </w:rPr>
        <w:lastRenderedPageBreak/>
        <w:t>statements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by a defendant. Via such access, defendants will have the ability to articulate a motion to suppress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conforming with Fifth Circuit precedent, the Local Rules, and this memorandum. All motions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30">
        <w:rPr>
          <w:rFonts w:ascii="Times New Roman" w:hAnsi="Times New Roman" w:cs="Times New Roman"/>
          <w:sz w:val="24"/>
          <w:szCs w:val="24"/>
        </w:rPr>
        <w:t>include certificates of conference, certificates of service, and a proposed order.</w:t>
      </w:r>
    </w:p>
    <w:p w14:paraId="2FF9000F" w14:textId="28019364" w:rsidR="003C1297" w:rsidRDefault="003C1297" w:rsidP="003C129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6A30">
        <w:rPr>
          <w:rFonts w:ascii="Times New Roman" w:hAnsi="Times New Roman" w:cs="Times New Roman"/>
          <w:sz w:val="24"/>
          <w:szCs w:val="24"/>
        </w:rPr>
        <w:t xml:space="preserve">igned this </w:t>
      </w:r>
      <w:r w:rsidR="00DB2954">
        <w:rPr>
          <w:rFonts w:ascii="Times New Roman" w:hAnsi="Times New Roman" w:cs="Times New Roman"/>
          <w:sz w:val="24"/>
          <w:szCs w:val="24"/>
        </w:rPr>
        <w:t>31st</w:t>
      </w:r>
      <w:r w:rsidRPr="007B6A30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</w:t>
      </w:r>
      <w:r w:rsidRPr="007B6A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6A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A30">
        <w:rPr>
          <w:rFonts w:ascii="Times New Roman" w:hAnsi="Times New Roman" w:cs="Times New Roman"/>
          <w:sz w:val="24"/>
          <w:szCs w:val="24"/>
        </w:rPr>
        <w:t>.</w:t>
      </w:r>
    </w:p>
    <w:p w14:paraId="52114FE0" w14:textId="77777777" w:rsidR="003C1297" w:rsidRPr="007B6A30" w:rsidRDefault="003C1297" w:rsidP="003C129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DF9358B" w14:textId="77777777" w:rsidR="007B6A30" w:rsidRPr="007B6A30" w:rsidRDefault="007B6A30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C87D20A" w14:textId="77777777" w:rsidR="007B6A30" w:rsidRPr="007B6A30" w:rsidRDefault="007B6A30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Andrew S. Hanen</w:t>
      </w:r>
    </w:p>
    <w:p w14:paraId="3763F4E9" w14:textId="79F87B4C" w:rsidR="007B6A30" w:rsidRDefault="007B6A30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United States District Judge</w:t>
      </w:r>
    </w:p>
    <w:p w14:paraId="4C9F1AE7" w14:textId="0ED7F958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0E856E41" w14:textId="2FE35974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3FEB8691" w14:textId="499630D5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1DC3226" w14:textId="177C9C52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285B854" w14:textId="7EFD2D60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51C2CB49" w14:textId="38FDA2D6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755CB41F" w14:textId="0076F4F0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6E9F4F69" w14:textId="70B66023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1F9300CC" w14:textId="6592631B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3BF0EA36" w14:textId="2455E692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0E7B376C" w14:textId="2809EF8B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0378203" w14:textId="0C8370C1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989506A" w14:textId="13DEC41C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6416123A" w14:textId="3DC633C8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77BD4B08" w14:textId="33F467C5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423DBFC4" w14:textId="55F29BD1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5750840E" w14:textId="46E6F2D7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4FEEF35" w14:textId="632B9A92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1AD5B679" w14:textId="13C5F4DC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C4F588A" w14:textId="7B047DF2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7660A89E" w14:textId="7531B167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0E6FADF0" w14:textId="6D708ADB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118BD604" w14:textId="3C9E2501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19FE7121" w14:textId="5146C9B1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23B468D0" w14:textId="5B25C169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sectPr w:rsidR="003C12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FA9" w14:textId="77777777" w:rsidR="00AC1BF3" w:rsidRDefault="00AC1BF3" w:rsidP="00AC1BF3">
      <w:pPr>
        <w:spacing w:after="0" w:line="240" w:lineRule="auto"/>
      </w:pPr>
      <w:r>
        <w:separator/>
      </w:r>
    </w:p>
  </w:endnote>
  <w:endnote w:type="continuationSeparator" w:id="0">
    <w:p w14:paraId="115EEDE6" w14:textId="77777777" w:rsidR="00AC1BF3" w:rsidRDefault="00AC1BF3" w:rsidP="00A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F65" w14:textId="77777777" w:rsidR="00C8652D" w:rsidRDefault="00C8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177" w14:textId="77777777" w:rsidR="00AC1BF3" w:rsidRDefault="00AC1BF3" w:rsidP="00AC1BF3">
      <w:pPr>
        <w:spacing w:after="0" w:line="240" w:lineRule="auto"/>
      </w:pPr>
      <w:r>
        <w:separator/>
      </w:r>
    </w:p>
  </w:footnote>
  <w:footnote w:type="continuationSeparator" w:id="0">
    <w:p w14:paraId="405702BC" w14:textId="77777777" w:rsidR="00AC1BF3" w:rsidRDefault="00AC1BF3" w:rsidP="00AC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F6336"/>
    <w:multiLevelType w:val="hybridMultilevel"/>
    <w:tmpl w:val="BC20CBC0"/>
    <w:lvl w:ilvl="0" w:tplc="3FE23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6F5A4B46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34F77"/>
    <w:rsid w:val="000435FA"/>
    <w:rsid w:val="00094571"/>
    <w:rsid w:val="000C4D49"/>
    <w:rsid w:val="000D417F"/>
    <w:rsid w:val="000D6611"/>
    <w:rsid w:val="000D76CC"/>
    <w:rsid w:val="000E01E4"/>
    <w:rsid w:val="000F4A92"/>
    <w:rsid w:val="00107F93"/>
    <w:rsid w:val="00121AB0"/>
    <w:rsid w:val="00125E86"/>
    <w:rsid w:val="001661A7"/>
    <w:rsid w:val="0019234A"/>
    <w:rsid w:val="001A36F1"/>
    <w:rsid w:val="001C3FD8"/>
    <w:rsid w:val="001C77AE"/>
    <w:rsid w:val="001E240D"/>
    <w:rsid w:val="00216B23"/>
    <w:rsid w:val="00230041"/>
    <w:rsid w:val="00235204"/>
    <w:rsid w:val="00251E5C"/>
    <w:rsid w:val="002553D1"/>
    <w:rsid w:val="002572AC"/>
    <w:rsid w:val="00257B5D"/>
    <w:rsid w:val="00271409"/>
    <w:rsid w:val="00287BDE"/>
    <w:rsid w:val="00297E45"/>
    <w:rsid w:val="002A6DD6"/>
    <w:rsid w:val="002B1C89"/>
    <w:rsid w:val="002B622A"/>
    <w:rsid w:val="002C104A"/>
    <w:rsid w:val="002E48FD"/>
    <w:rsid w:val="0031798C"/>
    <w:rsid w:val="00317E7B"/>
    <w:rsid w:val="00392382"/>
    <w:rsid w:val="003A1C48"/>
    <w:rsid w:val="003A355B"/>
    <w:rsid w:val="003A3570"/>
    <w:rsid w:val="003C1297"/>
    <w:rsid w:val="003C1D26"/>
    <w:rsid w:val="003F5DF7"/>
    <w:rsid w:val="00415083"/>
    <w:rsid w:val="00432A6C"/>
    <w:rsid w:val="00461E2B"/>
    <w:rsid w:val="005008DA"/>
    <w:rsid w:val="00506EF4"/>
    <w:rsid w:val="00514C58"/>
    <w:rsid w:val="005221A8"/>
    <w:rsid w:val="00546A5D"/>
    <w:rsid w:val="005534BC"/>
    <w:rsid w:val="0058633A"/>
    <w:rsid w:val="005A6721"/>
    <w:rsid w:val="005E639E"/>
    <w:rsid w:val="00601315"/>
    <w:rsid w:val="00601356"/>
    <w:rsid w:val="00613886"/>
    <w:rsid w:val="006438DF"/>
    <w:rsid w:val="00644BEA"/>
    <w:rsid w:val="0065634E"/>
    <w:rsid w:val="00664200"/>
    <w:rsid w:val="006761CB"/>
    <w:rsid w:val="006764BF"/>
    <w:rsid w:val="00677EAF"/>
    <w:rsid w:val="0068316C"/>
    <w:rsid w:val="006A327D"/>
    <w:rsid w:val="006B7258"/>
    <w:rsid w:val="0072105D"/>
    <w:rsid w:val="00776007"/>
    <w:rsid w:val="00793D1B"/>
    <w:rsid w:val="007B6A30"/>
    <w:rsid w:val="007B7F36"/>
    <w:rsid w:val="007E1122"/>
    <w:rsid w:val="007E2D54"/>
    <w:rsid w:val="00804008"/>
    <w:rsid w:val="00826CB3"/>
    <w:rsid w:val="00827CE4"/>
    <w:rsid w:val="0083176C"/>
    <w:rsid w:val="00831B60"/>
    <w:rsid w:val="0084556B"/>
    <w:rsid w:val="008461CF"/>
    <w:rsid w:val="0086226C"/>
    <w:rsid w:val="00862531"/>
    <w:rsid w:val="008A0ECC"/>
    <w:rsid w:val="008E46E2"/>
    <w:rsid w:val="0096541D"/>
    <w:rsid w:val="009730AB"/>
    <w:rsid w:val="009A3486"/>
    <w:rsid w:val="009C4093"/>
    <w:rsid w:val="00A07295"/>
    <w:rsid w:val="00A253B2"/>
    <w:rsid w:val="00A4261A"/>
    <w:rsid w:val="00A42DC3"/>
    <w:rsid w:val="00A42EAE"/>
    <w:rsid w:val="00AC0A77"/>
    <w:rsid w:val="00AC1BF3"/>
    <w:rsid w:val="00AC62A8"/>
    <w:rsid w:val="00B0112F"/>
    <w:rsid w:val="00B74896"/>
    <w:rsid w:val="00B84532"/>
    <w:rsid w:val="00C2532A"/>
    <w:rsid w:val="00C460BE"/>
    <w:rsid w:val="00C8652D"/>
    <w:rsid w:val="00C92C4A"/>
    <w:rsid w:val="00CD4B63"/>
    <w:rsid w:val="00CD71DE"/>
    <w:rsid w:val="00D05241"/>
    <w:rsid w:val="00D147C8"/>
    <w:rsid w:val="00D26E13"/>
    <w:rsid w:val="00D62D20"/>
    <w:rsid w:val="00D6385C"/>
    <w:rsid w:val="00D679AC"/>
    <w:rsid w:val="00DB2954"/>
    <w:rsid w:val="00DB525A"/>
    <w:rsid w:val="00DC4400"/>
    <w:rsid w:val="00DC450A"/>
    <w:rsid w:val="00DD1807"/>
    <w:rsid w:val="00DD6EFD"/>
    <w:rsid w:val="00DF2846"/>
    <w:rsid w:val="00DF7A95"/>
    <w:rsid w:val="00E1400F"/>
    <w:rsid w:val="00E43159"/>
    <w:rsid w:val="00E5695E"/>
    <w:rsid w:val="00E66D7A"/>
    <w:rsid w:val="00E75C8D"/>
    <w:rsid w:val="00EC2023"/>
    <w:rsid w:val="00ED6021"/>
    <w:rsid w:val="00EE0FFD"/>
    <w:rsid w:val="00F02BE8"/>
    <w:rsid w:val="00F047B4"/>
    <w:rsid w:val="00F118AF"/>
    <w:rsid w:val="00F12B28"/>
    <w:rsid w:val="00F31299"/>
    <w:rsid w:val="00F902B3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3"/>
  </w:style>
  <w:style w:type="paragraph" w:styleId="Footer">
    <w:name w:val="footer"/>
    <w:basedOn w:val="Normal"/>
    <w:link w:val="Foot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9D38-308B-4D5F-BC12-B58CCE32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2019-10-07T16:45:00Z</cp:lastPrinted>
  <dcterms:created xsi:type="dcterms:W3CDTF">2019-11-12T16:44:00Z</dcterms:created>
  <dcterms:modified xsi:type="dcterms:W3CDTF">2019-11-12T16:45:00Z</dcterms:modified>
</cp:coreProperties>
</file>